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C1228" w:val="clear"/>
            <w:tcMar>
              <w:top w:type="dxa" w:w="540"/>
              <w:left w:type="dxa" w:w="560"/>
              <w:bottom w:type="dxa" w:w="120"/>
              <w:right w:type="dxa" w:w="560"/>
            </w:tcMar>
          </w:tcPr>
          <w:p>
            <w:pPr>
              <w:spacing w:before="0" w:after="100"/>
              <w:jc w:val="left"/>
            </w:pPr>
            <w:r>
              <w:rPr>
                <w:rFonts w:ascii="Arial" w:cs="Arial" w:eastAsia="Arial" w:hAnsi="Arial"/>
                <w:caps/>
                <w:color w:val="9B6BBF"/>
                <w:sz w:val="17"/>
                <w:szCs w:val="17"/>
              </w:rPr>
              <w:t xml:space="preserve">A RESOURCE FOR WISCONSIN PUBLIC LIBRARIES</w:t>
            </w:r>
          </w:p>
          <w:p>
            <w:pPr>
              <w:spacing w:before="80" w:after="60"/>
              <w:jc w:val="left"/>
            </w:pPr>
            <w:r>
              <w:rPr>
                <w:rFonts w:ascii="Arial" w:cs="Arial" w:eastAsia="Arial" w:hAnsi="Arial"/>
                <w:b/>
                <w:bCs/>
                <w:color w:val="FFFFFF"/>
                <w:sz w:val="46"/>
                <w:szCs w:val="46"/>
              </w:rPr>
              <w:t xml:space="preserve">Is Your Library Leaving</w:t>
            </w:r>
          </w:p>
          <w:p>
            <w:pPr>
              <w:spacing w:before="0" w:after="60"/>
              <w:jc w:val="left"/>
            </w:pPr>
            <w:r>
              <w:rPr>
                <w:rFonts w:ascii="Arial" w:cs="Arial" w:eastAsia="Arial" w:hAnsi="Arial"/>
                <w:b/>
                <w:bCs/>
                <w:color w:val="FFFFFF"/>
                <w:sz w:val="46"/>
                <w:szCs w:val="46"/>
              </w:rPr>
              <w:t xml:space="preserve">Federal Money on the Table?</w:t>
            </w:r>
          </w:p>
          <w:p>
            <w:pPr>
              <w:spacing w:before="100" w:after="480"/>
              <w:jc w:val="left"/>
            </w:pPr>
            <w:r>
              <w:rPr>
                <w:rFonts w:ascii="Arial" w:cs="Arial" w:eastAsia="Arial" w:hAnsi="Arial"/>
                <w:color w:val="9B6BBF"/>
                <w:sz w:val="22"/>
                <w:szCs w:val="22"/>
              </w:rPr>
              <w:t xml:space="preserve">How Wisconsin Libraries Can Claim Their E-Rate Category 2 Funding — and Why Most Haven't</w:t>
            </w:r>
          </w:p>
        </w:tc>
      </w:tr>
      <w:tr>
        <w:tc>
          <w:tcPr>
            <w:tcW w:type="dxa" w:w="9360"/>
            <w:tcBorders>
              <w:top w:val="none" w:color="FFFFFF" w:sz="0"/>
              <w:left w:val="none" w:color="FFFFFF" w:sz="0"/>
              <w:bottom w:val="none" w:color="FFFFFF" w:sz="0"/>
              <w:right w:val="none" w:color="FFFFFF" w:sz="0"/>
            </w:tcBorders>
            <w:shd w:fill="7A4DA0" w:val="clear"/>
            <w:tcMar>
              <w:top w:type="dxa" w:w="140"/>
              <w:left w:type="dxa" w:w="560"/>
              <w:bottom w:type="dxa" w:w="140"/>
              <w:right w:type="dxa" w:w="560"/>
            </w:tcMar>
          </w:tcPr>
          <w:p>
            <w:pPr>
              <w:jc w:val="left"/>
            </w:pPr>
            <w:r>
              <w:rPr>
                <w:rFonts w:ascii="Arial" w:cs="Arial" w:eastAsia="Arial" w:hAnsi="Arial"/>
                <w:color w:val="EDE5F5"/>
                <w:sz w:val="19"/>
                <w:szCs w:val="19"/>
              </w:rPr>
              <w:t xml:space="preserve">Published by Modern Edge Technology  |  March 2026</w:t>
            </w:r>
          </w:p>
        </w:tc>
      </w:tr>
    </w:tbl>
    <w:p>
      <w:pPr>
        <w:spacing w:before="60" w:after="60"/>
      </w:pPr>
      <w:r>
        <w:t xml:space="preserve"/>
      </w:r>
    </w:p>
    <w:p>
      <w:pPr>
        <w:pStyle w:val="Heading1"/>
        <w:pBdr>
          <w:bottom w:val="single" w:color="7A4DA0" w:sz="8" w:space="4"/>
        </w:pBdr>
        <w:spacing w:before="440" w:after="160"/>
      </w:pPr>
      <w:r>
        <w:rPr>
          <w:rFonts w:ascii="Arial" w:cs="Arial" w:eastAsia="Arial" w:hAnsi="Arial"/>
          <w:b/>
          <w:bCs/>
          <w:color w:val="1C1228"/>
          <w:sz w:val="32"/>
          <w:szCs w:val="32"/>
        </w:rPr>
        <w:t xml:space="preserve">Executive Summary</w:t>
      </w:r>
    </w:p>
    <w:p>
      <w:pPr>
        <w:spacing w:before="80" w:after="120" w:line="276"/>
      </w:pPr>
      <w:r>
        <w:rPr>
          <w:rFonts w:ascii="Arial" w:cs="Arial" w:eastAsia="Arial" w:hAnsi="Arial"/>
          <w:color w:val="2E2E2E"/>
          <w:sz w:val="22"/>
          <w:szCs w:val="22"/>
        </w:rPr>
        <w:t xml:space="preserve">Your library may be entitled to tens of thousands of dollars in federal technology funding — money that is already allocated, already budgeted, and waiting to be claimed. Yet data from Wisconsin's E-rate Category 2 program tells a sobering story: only </w:t>
      </w:r>
      <w:r>
        <w:rPr>
          <w:rFonts w:ascii="Arial" w:cs="Arial" w:eastAsia="Arial" w:hAnsi="Arial"/>
          <w:b/>
          <w:bCs/>
          <w:color w:val="2E2E2E"/>
          <w:sz w:val="22"/>
          <w:szCs w:val="22"/>
        </w:rPr>
        <w:t xml:space="preserve">6% of Wisconsin public libraries</w:t>
      </w:r>
      <w:r>
        <w:rPr>
          <w:rFonts w:ascii="Arial" w:cs="Arial" w:eastAsia="Arial" w:hAnsi="Arial"/>
          <w:color w:val="2E2E2E"/>
          <w:sz w:val="22"/>
          <w:szCs w:val="22"/>
        </w:rPr>
        <w:t xml:space="preserve"> received any Category 2 funding during the most recent five-year cycle.</w:t>
      </w:r>
    </w:p>
    <w:p>
      <w:pPr>
        <w:spacing w:before="60" w:after="60"/>
      </w:pPr>
      <w:r>
        <w:t xml:space="preserve"/>
      </w:r>
    </w:p>
    <w:p>
      <w:pPr>
        <w:spacing w:before="80" w:after="120" w:line="276"/>
      </w:pPr>
      <w:r>
        <w:rPr>
          <w:rFonts w:ascii="Arial" w:cs="Arial" w:eastAsia="Arial" w:hAnsi="Arial"/>
          <w:color w:val="2E2E2E"/>
          <w:sz w:val="22"/>
          <w:szCs w:val="22"/>
        </w:rPr>
        <w:t xml:space="preserve">That leaves 94% of libraries — 301 out of 321 statewide — with untouched C2 budgets. The new FY2026–2030 cycle has opened, and the clock is running again.</w:t>
      </w:r>
    </w:p>
    <w:p>
      <w:pPr>
        <w:spacing w:before="60" w:after="60"/>
      </w:pPr>
      <w:r>
        <w:t xml:space="preserve"/>
      </w:r>
    </w:p>
    <w:p>
      <w:pPr>
        <w:spacing w:before="80" w:after="120" w:line="276"/>
      </w:pPr>
      <w:r>
        <w:rPr>
          <w:rFonts w:ascii="Arial" w:cs="Arial" w:eastAsia="Arial" w:hAnsi="Arial"/>
          <w:color w:val="2E2E2E"/>
          <w:sz w:val="22"/>
          <w:szCs w:val="22"/>
        </w:rPr>
        <w:t xml:space="preserve">This paper explains what E-rate Category 2 funding is, why so few libraries have successfully claimed it, what the libraries that did have in common, and what you can do about it right now.</w:t>
      </w:r>
    </w:p>
    <w:p>
      <w:pPr>
        <w:spacing w:before="60" w:after="60"/>
      </w:pPr>
      <w:r>
        <w:t xml:space="preserve"/>
      </w:r>
    </w:p>
    <w:p>
      <w:pPr>
        <w:pBdr>
          <w:left w:val="single" w:color="7A4DA0" w:sz="20" w:space="12"/>
        </w:pBdr>
        <w:shd w:fill="EDE5F5" w:val="clear"/>
        <w:spacing w:before="180" w:after="180"/>
        <w:ind w:left="640"/>
      </w:pPr>
      <w:r>
        <w:rPr>
          <w:rFonts w:ascii="Arial" w:cs="Arial" w:eastAsia="Arial" w:hAnsi="Arial"/>
          <w:i/>
          <w:iCs/>
          <w:color w:val="1C1228"/>
          <w:sz w:val="22"/>
          <w:szCs w:val="22"/>
        </w:rPr>
        <w:t xml:space="preserve">The gap is not due to ineligibility. Nearly every public library qualifies. The barrier is process complexity — and that barrier is entirely solvable with the right support.</w:t>
      </w:r>
    </w:p>
    <w:p>
      <w:pPr>
        <w:spacing w:before="60" w:after="60"/>
      </w:pPr>
      <w:r>
        <w:t xml:space="preserve"/>
      </w:r>
    </w:p>
    <w:p>
      <w:pPr>
        <w:pStyle w:val="Heading1"/>
        <w:pBdr>
          <w:bottom w:val="single" w:color="7A4DA0" w:sz="8" w:space="4"/>
        </w:pBdr>
        <w:spacing w:before="440" w:after="160"/>
      </w:pPr>
      <w:r>
        <w:rPr>
          <w:rFonts w:ascii="Arial" w:cs="Arial" w:eastAsia="Arial" w:hAnsi="Arial"/>
          <w:b/>
          <w:bCs/>
          <w:color w:val="1C1228"/>
          <w:sz w:val="32"/>
          <w:szCs w:val="32"/>
        </w:rPr>
        <w:t xml:space="preserve">The Problem: $28 Million Sitting Unclaimed</w:t>
      </w:r>
    </w:p>
    <w:p>
      <w:pPr>
        <w:spacing w:before="80" w:after="120" w:line="276"/>
      </w:pPr>
      <w:r>
        <w:rPr>
          <w:rFonts w:ascii="Arial" w:cs="Arial" w:eastAsia="Arial" w:hAnsi="Arial"/>
          <w:color w:val="2E2E2E"/>
          <w:sz w:val="22"/>
          <w:szCs w:val="22"/>
        </w:rPr>
        <w:t xml:space="preserve">Let's start with a number that deserves to be read twice.</w:t>
      </w:r>
    </w:p>
    <w:p>
      <w:pPr>
        <w:spacing w:before="40" w:after="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color="FFFFFF" w:sz="0"/>
              <w:left w:val="none" w:color="FFFFFF" w:sz="0"/>
              <w:bottom w:val="none" w:color="FFFFFF" w:sz="0"/>
              <w:right w:val="none" w:color="FFFFFF" w:sz="0"/>
            </w:tcBorders>
            <w:shd w:fill="EDE5F5" w:val="clear"/>
            <w:tcMar>
              <w:top w:type="dxa" w:w="200"/>
              <w:left w:type="dxa" w:w="160"/>
              <w:bottom w:type="dxa" w:w="200"/>
              <w:right w:type="dxa" w:w="160"/>
            </w:tcMar>
          </w:tcPr>
          <w:p>
            <w:pPr>
              <w:spacing w:before="0" w:after="40"/>
              <w:jc w:val="center"/>
            </w:pPr>
            <w:r>
              <w:rPr>
                <w:rFonts w:ascii="Arial" w:cs="Arial" w:eastAsia="Arial" w:hAnsi="Arial"/>
                <w:b/>
                <w:bCs/>
                <w:color w:val="7A4DA0"/>
                <w:sz w:val="64"/>
                <w:szCs w:val="64"/>
              </w:rPr>
              <w:t xml:space="preserve">301</w:t>
            </w:r>
          </w:p>
          <w:p>
            <w:pPr>
              <w:spacing w:before="0" w:after="0"/>
              <w:jc w:val="center"/>
            </w:pPr>
            <w:r>
              <w:rPr>
                <w:rFonts w:ascii="Arial" w:cs="Arial" w:eastAsia="Arial" w:hAnsi="Arial"/>
                <w:color w:val="555555"/>
                <w:sz w:val="18"/>
                <w:szCs w:val="18"/>
              </w:rPr>
              <w:t xml:space="preserve">Wisconsin libraries with no C2 funding received</w:t>
            </w:r>
          </w:p>
        </w:tc>
        <w:tc>
          <w:tcPr>
            <w:tcW w:type="dxa" w:w="3120"/>
            <w:tcBorders>
              <w:top w:val="none" w:color="FFFFFF" w:sz="0"/>
              <w:left w:val="none" w:color="FFFFFF" w:sz="0"/>
              <w:bottom w:val="none" w:color="FFFFFF" w:sz="0"/>
              <w:right w:val="none" w:color="FFFFFF" w:sz="0"/>
            </w:tcBorders>
            <w:shd w:fill="EDE5F5" w:val="clear"/>
            <w:tcMar>
              <w:top w:type="dxa" w:w="200"/>
              <w:left w:type="dxa" w:w="160"/>
              <w:bottom w:type="dxa" w:w="200"/>
              <w:right w:type="dxa" w:w="160"/>
            </w:tcMar>
          </w:tcPr>
          <w:p>
            <w:pPr>
              <w:spacing w:before="0" w:after="40"/>
              <w:jc w:val="center"/>
            </w:pPr>
            <w:r>
              <w:rPr>
                <w:rFonts w:ascii="Arial" w:cs="Arial" w:eastAsia="Arial" w:hAnsi="Arial"/>
                <w:b/>
                <w:bCs/>
                <w:color w:val="7A4DA0"/>
                <w:sz w:val="64"/>
                <w:szCs w:val="64"/>
              </w:rPr>
              <w:t xml:space="preserve">$28M+</w:t>
            </w:r>
          </w:p>
          <w:p>
            <w:pPr>
              <w:spacing w:before="0" w:after="0"/>
              <w:jc w:val="center"/>
            </w:pPr>
            <w:r>
              <w:rPr>
                <w:rFonts w:ascii="Arial" w:cs="Arial" w:eastAsia="Arial" w:hAnsi="Arial"/>
                <w:color w:val="555555"/>
                <w:sz w:val="18"/>
                <w:szCs w:val="18"/>
              </w:rPr>
              <w:t xml:space="preserve">Estimated unclaimed C2 budget statewide</w:t>
            </w:r>
          </w:p>
        </w:tc>
        <w:tc>
          <w:tcPr>
            <w:tcW w:type="dxa" w:w="3120"/>
            <w:tcBorders>
              <w:top w:val="none" w:color="FFFFFF" w:sz="0"/>
              <w:left w:val="none" w:color="FFFFFF" w:sz="0"/>
              <w:bottom w:val="none" w:color="FFFFFF" w:sz="0"/>
              <w:right w:val="none" w:color="FFFFFF" w:sz="0"/>
            </w:tcBorders>
            <w:shd w:fill="EDE5F5" w:val="clear"/>
            <w:tcMar>
              <w:top w:type="dxa" w:w="200"/>
              <w:left w:type="dxa" w:w="160"/>
              <w:bottom w:type="dxa" w:w="200"/>
              <w:right w:type="dxa" w:w="160"/>
            </w:tcMar>
          </w:tcPr>
          <w:p>
            <w:pPr>
              <w:spacing w:before="0" w:after="40"/>
              <w:jc w:val="center"/>
            </w:pPr>
            <w:r>
              <w:rPr>
                <w:rFonts w:ascii="Arial" w:cs="Arial" w:eastAsia="Arial" w:hAnsi="Arial"/>
                <w:b/>
                <w:bCs/>
                <w:color w:val="7A4DA0"/>
                <w:sz w:val="64"/>
                <w:szCs w:val="64"/>
              </w:rPr>
              <w:t xml:space="preserve">0</w:t>
            </w:r>
          </w:p>
          <w:p>
            <w:pPr>
              <w:spacing w:before="0" w:after="0"/>
              <w:jc w:val="center"/>
            </w:pPr>
            <w:r>
              <w:rPr>
                <w:rFonts w:ascii="Arial" w:cs="Arial" w:eastAsia="Arial" w:hAnsi="Arial"/>
                <w:color w:val="555555"/>
                <w:sz w:val="18"/>
                <w:szCs w:val="18"/>
              </w:rPr>
              <w:t xml:space="preserve">Libraries funded in the new FY2026–2030 cycle so far</w:t>
            </w:r>
          </w:p>
        </w:tc>
      </w:tr>
    </w:tbl>
    <w:p>
      <w:pPr>
        <w:spacing w:before="60" w:after="60"/>
      </w:pPr>
      <w:r>
        <w:t xml:space="preserve"/>
      </w:r>
    </w:p>
    <w:p>
      <w:pPr>
        <w:spacing w:before="80" w:after="120" w:line="276"/>
      </w:pPr>
      <w:r>
        <w:rPr>
          <w:rFonts w:ascii="Arial" w:cs="Arial" w:eastAsia="Arial" w:hAnsi="Arial"/>
          <w:color w:val="2E2E2E"/>
          <w:sz w:val="22"/>
          <w:szCs w:val="22"/>
        </w:rPr>
        <w:t xml:space="preserve">The E-rate program was designed by the federal government specifically to ensure that libraries and schools could afford the technology infrastructure they need. Category 2 (C2) funding covers internal network equipment — the routers, switches, wireless access points, and cabling that make your internet connection actually work throughout your building.</w:t>
      </w:r>
    </w:p>
    <w:p>
      <w:pPr>
        <w:spacing w:before="60" w:after="60"/>
      </w:pPr>
      <w:r>
        <w:t xml:space="preserve"/>
      </w:r>
    </w:p>
    <w:p>
      <w:pPr>
        <w:spacing w:before="80" w:after="120" w:line="276"/>
      </w:pPr>
      <w:r>
        <w:rPr>
          <w:rFonts w:ascii="Arial" w:cs="Arial" w:eastAsia="Arial" w:hAnsi="Arial"/>
          <w:color w:val="2E2E2E"/>
          <w:sz w:val="22"/>
          <w:szCs w:val="22"/>
        </w:rPr>
        <w:t xml:space="preserve">Every eligible library receives a minimum C2 budget of $25,000 per five-year cycle. Larger libraries receive significantly more, calculated based on square footage. Milwaukee Public Library, for instance, had a C2 budget of nearly $2.9 million for the current cycle — and claimed only a fraction of it.</w:t>
      </w:r>
    </w:p>
    <w:p>
      <w:pPr>
        <w:spacing w:before="60" w:after="60"/>
      </w:pPr>
      <w:r>
        <w:t xml:space="preserve"/>
      </w:r>
    </w:p>
    <w:p>
      <w:pPr>
        <w:pBdr>
          <w:left w:val="single" w:color="7A4DA0" w:sz="20" w:space="12"/>
        </w:pBdr>
        <w:shd w:fill="EDE5F5" w:val="clear"/>
        <w:spacing w:before="180" w:after="180"/>
        <w:ind w:left="640"/>
      </w:pPr>
      <w:r>
        <w:rPr>
          <w:rFonts w:ascii="Arial" w:cs="Arial" w:eastAsia="Arial" w:hAnsi="Arial"/>
          <w:i/>
          <w:iCs/>
          <w:color w:val="1C1228"/>
          <w:sz w:val="22"/>
          <w:szCs w:val="22"/>
        </w:rPr>
        <w:t xml:space="preserve">The funds don't roll over. Each five-year cycle has its own budget. If your library doesn't apply and receive funding in this cycle, that allocation is gone.</w:t>
      </w:r>
    </w:p>
    <w:p>
      <w:pPr>
        <w:spacing w:before="60" w:after="60"/>
      </w:pPr>
      <w:r>
        <w:t xml:space="preserve"/>
      </w:r>
    </w:p>
    <w:p>
      <w:pPr>
        <w:pStyle w:val="Heading2"/>
        <w:spacing w:before="280" w:after="100"/>
      </w:pPr>
      <w:r>
        <w:rPr>
          <w:rFonts w:ascii="Arial" w:cs="Arial" w:eastAsia="Arial" w:hAnsi="Arial"/>
          <w:b/>
          <w:bCs/>
          <w:color w:val="7A4DA0"/>
          <w:sz w:val="26"/>
          <w:szCs w:val="26"/>
        </w:rPr>
        <w:t xml:space="preserve">Wisconsin Libraries: What the Data Shows</w:t>
      </w:r>
    </w:p>
    <w:p>
      <w:pPr>
        <w:spacing w:before="80" w:after="120" w:line="276"/>
      </w:pPr>
      <w:r>
        <w:rPr>
          <w:rFonts w:ascii="Arial" w:cs="Arial" w:eastAsia="Arial" w:hAnsi="Arial"/>
          <w:color w:val="2E2E2E"/>
          <w:sz w:val="22"/>
          <w:szCs w:val="22"/>
        </w:rPr>
        <w:t xml:space="preserve">The chart below summarizes E-rate C2 activity across all 321 Wisconsin public libraries for FY2021–2025:</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500"/>
        <w:gridCol w:w="2860"/>
      </w:tblGrid>
      <w:tr>
        <w:tc>
          <w:tcPr>
            <w:tcW w:type="dxa" w:w="6500"/>
            <w:tcBorders>
              <w:top w:val="single" w:color="C9B8DB" w:sz="1"/>
              <w:left w:val="single" w:color="C9B8DB" w:sz="1"/>
              <w:bottom w:val="single" w:color="C9B8DB" w:sz="1"/>
              <w:right w:val="single" w:color="C9B8DB" w:sz="1"/>
            </w:tcBorders>
            <w:shd w:fill="1C1228" w:val="clear"/>
            <w:tcMar>
              <w:top w:type="dxa" w:w="100"/>
              <w:left w:type="dxa" w:w="160"/>
              <w:bottom w:type="dxa" w:w="100"/>
              <w:right w:type="dxa" w:w="160"/>
            </w:tcMar>
          </w:tcPr>
          <w:p>
            <w:r>
              <w:rPr>
                <w:rFonts w:ascii="Arial" w:cs="Arial" w:eastAsia="Arial" w:hAnsi="Arial"/>
                <w:b/>
                <w:bCs/>
                <w:color w:val="FFFFFF"/>
                <w:sz w:val="20"/>
                <w:szCs w:val="20"/>
              </w:rPr>
              <w:t xml:space="preserve">Metric</w:t>
            </w:r>
          </w:p>
        </w:tc>
        <w:tc>
          <w:tcPr>
            <w:tcW w:type="dxa" w:w="2860"/>
            <w:tcBorders>
              <w:top w:val="single" w:color="C9B8DB" w:sz="1"/>
              <w:left w:val="single" w:color="C9B8DB" w:sz="1"/>
              <w:bottom w:val="single" w:color="C9B8DB" w:sz="1"/>
              <w:right w:val="single" w:color="C9B8DB" w:sz="1"/>
            </w:tcBorders>
            <w:shd w:fill="1C1228" w:val="clear"/>
            <w:tcMar>
              <w:top w:type="dxa" w:w="100"/>
              <w:left w:type="dxa" w:w="160"/>
              <w:bottom w:type="dxa" w:w="100"/>
              <w:right w:type="dxa" w:w="160"/>
            </w:tcMar>
          </w:tcPr>
          <w:p>
            <w:pPr>
              <w:jc w:val="center"/>
            </w:pPr>
            <w:r>
              <w:rPr>
                <w:rFonts w:ascii="Arial" w:cs="Arial" w:eastAsia="Arial" w:hAnsi="Arial"/>
                <w:b/>
                <w:bCs/>
                <w:color w:val="FFFFFF"/>
                <w:sz w:val="20"/>
                <w:szCs w:val="20"/>
              </w:rPr>
              <w:t xml:space="preserve">Finding</w:t>
            </w:r>
          </w:p>
        </w:tc>
      </w:tr>
      <w:tr>
        <w:tc>
          <w:tcPr>
            <w:tcW w:type="dxa" w:w="6500"/>
            <w:tcBorders>
              <w:top w:val="single" w:color="C9B8DB" w:sz="1"/>
              <w:left w:val="single" w:color="C9B8DB" w:sz="1"/>
              <w:bottom w:val="single" w:color="C9B8DB" w:sz="1"/>
              <w:right w:val="single" w:color="C9B8DB" w:sz="1"/>
            </w:tcBorders>
            <w:shd w:fill="F5F3F8" w:val="clear"/>
            <w:tcMar>
              <w:top w:type="dxa" w:w="100"/>
              <w:left w:type="dxa" w:w="160"/>
              <w:bottom w:type="dxa" w:w="100"/>
              <w:right w:type="dxa" w:w="160"/>
            </w:tcMar>
          </w:tcPr>
          <w:p>
            <w:r>
              <w:rPr>
                <w:rFonts w:ascii="Arial" w:cs="Arial" w:eastAsia="Arial" w:hAnsi="Arial"/>
                <w:color w:val="333333"/>
                <w:sz w:val="20"/>
                <w:szCs w:val="20"/>
              </w:rPr>
              <w:t xml:space="preserve">Total public libraries in Wisconsin dataset</w:t>
            </w:r>
          </w:p>
        </w:tc>
        <w:tc>
          <w:tcPr>
            <w:tcW w:type="dxa" w:w="2860"/>
            <w:tcBorders>
              <w:top w:val="single" w:color="C9B8DB" w:sz="1"/>
              <w:left w:val="single" w:color="C9B8DB" w:sz="1"/>
              <w:bottom w:val="single" w:color="C9B8DB" w:sz="1"/>
              <w:right w:val="single" w:color="C9B8DB" w:sz="1"/>
            </w:tcBorders>
            <w:shd w:fill="F5F3F8" w:val="clear"/>
            <w:tcMar>
              <w:top w:type="dxa" w:w="100"/>
              <w:left w:type="dxa" w:w="160"/>
              <w:bottom w:type="dxa" w:w="100"/>
              <w:right w:type="dxa" w:w="160"/>
            </w:tcMar>
          </w:tcPr>
          <w:p>
            <w:pPr>
              <w:jc w:val="center"/>
            </w:pPr>
            <w:r>
              <w:rPr>
                <w:rFonts w:ascii="Arial" w:cs="Arial" w:eastAsia="Arial" w:hAnsi="Arial"/>
                <w:b/>
                <w:bCs/>
                <w:color w:val="1C1228"/>
                <w:sz w:val="20"/>
                <w:szCs w:val="20"/>
              </w:rPr>
              <w:t xml:space="preserve">321</w:t>
            </w:r>
          </w:p>
        </w:tc>
      </w:tr>
      <w:tr>
        <w:tc>
          <w:tcPr>
            <w:tcW w:type="dxa" w:w="6500"/>
            <w:tcBorders>
              <w:top w:val="single" w:color="C9B8DB" w:sz="1"/>
              <w:left w:val="single" w:color="C9B8DB" w:sz="1"/>
              <w:bottom w:val="single" w:color="C9B8DB" w:sz="1"/>
              <w:right w:val="single" w:color="C9B8DB" w:sz="1"/>
            </w:tcBorders>
            <w:shd w:fill="EDE5F5" w:val="clear"/>
            <w:tcMar>
              <w:top w:type="dxa" w:w="100"/>
              <w:left w:type="dxa" w:w="160"/>
              <w:bottom w:type="dxa" w:w="100"/>
              <w:right w:type="dxa" w:w="160"/>
            </w:tcMar>
          </w:tcPr>
          <w:p>
            <w:r>
              <w:rPr>
                <w:rFonts w:ascii="Arial" w:cs="Arial" w:eastAsia="Arial" w:hAnsi="Arial"/>
                <w:color w:val="333333"/>
                <w:sz w:val="20"/>
                <w:szCs w:val="20"/>
              </w:rPr>
              <w:t xml:space="preserve">Libraries that received C2 funding (FY2021–2025)</w:t>
            </w:r>
          </w:p>
        </w:tc>
        <w:tc>
          <w:tcPr>
            <w:tcW w:type="dxa" w:w="2860"/>
            <w:tcBorders>
              <w:top w:val="single" w:color="C9B8DB" w:sz="1"/>
              <w:left w:val="single" w:color="C9B8DB" w:sz="1"/>
              <w:bottom w:val="single" w:color="C9B8DB" w:sz="1"/>
              <w:right w:val="single" w:color="C9B8DB" w:sz="1"/>
            </w:tcBorders>
            <w:shd w:fill="EDE5F5" w:val="clear"/>
            <w:tcMar>
              <w:top w:type="dxa" w:w="100"/>
              <w:left w:type="dxa" w:w="160"/>
              <w:bottom w:type="dxa" w:w="100"/>
              <w:right w:type="dxa" w:w="160"/>
            </w:tcMar>
          </w:tcPr>
          <w:p>
            <w:pPr>
              <w:jc w:val="center"/>
            </w:pPr>
            <w:r>
              <w:rPr>
                <w:rFonts w:ascii="Arial" w:cs="Arial" w:eastAsia="Arial" w:hAnsi="Arial"/>
                <w:b/>
                <w:bCs/>
                <w:color w:val="7A4DA0"/>
                <w:sz w:val="20"/>
                <w:szCs w:val="20"/>
              </w:rPr>
              <w:t xml:space="preserve">20  (6%)</w:t>
            </w:r>
          </w:p>
        </w:tc>
      </w:tr>
      <w:tr>
        <w:tc>
          <w:tcPr>
            <w:tcW w:type="dxa" w:w="6500"/>
            <w:tcBorders>
              <w:top w:val="single" w:color="C9B8DB" w:sz="1"/>
              <w:left w:val="single" w:color="C9B8DB" w:sz="1"/>
              <w:bottom w:val="single" w:color="C9B8DB" w:sz="1"/>
              <w:right w:val="single" w:color="C9B8DB" w:sz="1"/>
            </w:tcBorders>
            <w:shd w:fill="EDE5F5" w:val="clear"/>
            <w:tcMar>
              <w:top w:type="dxa" w:w="100"/>
              <w:left w:type="dxa" w:w="160"/>
              <w:bottom w:type="dxa" w:w="100"/>
              <w:right w:type="dxa" w:w="160"/>
            </w:tcMar>
          </w:tcPr>
          <w:p>
            <w:r>
              <w:rPr>
                <w:rFonts w:ascii="Arial" w:cs="Arial" w:eastAsia="Arial" w:hAnsi="Arial"/>
                <w:color w:val="333333"/>
                <w:sz w:val="20"/>
                <w:szCs w:val="20"/>
              </w:rPr>
              <w:t xml:space="preserve">Libraries funded in the new FY2026–2030 cycle</w:t>
            </w:r>
          </w:p>
        </w:tc>
        <w:tc>
          <w:tcPr>
            <w:tcW w:type="dxa" w:w="2860"/>
            <w:tcBorders>
              <w:top w:val="single" w:color="C9B8DB" w:sz="1"/>
              <w:left w:val="single" w:color="C9B8DB" w:sz="1"/>
              <w:bottom w:val="single" w:color="C9B8DB" w:sz="1"/>
              <w:right w:val="single" w:color="C9B8DB" w:sz="1"/>
            </w:tcBorders>
            <w:shd w:fill="EDE5F5" w:val="clear"/>
            <w:tcMar>
              <w:top w:type="dxa" w:w="100"/>
              <w:left w:type="dxa" w:w="160"/>
              <w:bottom w:type="dxa" w:w="100"/>
              <w:right w:type="dxa" w:w="160"/>
            </w:tcMar>
          </w:tcPr>
          <w:p>
            <w:pPr>
              <w:jc w:val="center"/>
            </w:pPr>
            <w:r>
              <w:rPr>
                <w:rFonts w:ascii="Arial" w:cs="Arial" w:eastAsia="Arial" w:hAnsi="Arial"/>
                <w:b/>
                <w:bCs/>
                <w:color w:val="7A4DA0"/>
                <w:sz w:val="20"/>
                <w:szCs w:val="20"/>
              </w:rPr>
              <w:t xml:space="preserve">0  (0%)</w:t>
            </w:r>
          </w:p>
        </w:tc>
      </w:tr>
      <w:tr>
        <w:tc>
          <w:tcPr>
            <w:tcW w:type="dxa" w:w="6500"/>
            <w:tcBorders>
              <w:top w:val="single" w:color="C9B8DB" w:sz="1"/>
              <w:left w:val="single" w:color="C9B8DB" w:sz="1"/>
              <w:bottom w:val="single" w:color="C9B8DB" w:sz="1"/>
              <w:right w:val="single" w:color="C9B8DB" w:sz="1"/>
            </w:tcBorders>
            <w:shd w:fill="F5F3F8" w:val="clear"/>
            <w:tcMar>
              <w:top w:type="dxa" w:w="100"/>
              <w:left w:type="dxa" w:w="160"/>
              <w:bottom w:type="dxa" w:w="100"/>
              <w:right w:type="dxa" w:w="160"/>
            </w:tcMar>
          </w:tcPr>
          <w:p>
            <w:r>
              <w:rPr>
                <w:rFonts w:ascii="Arial" w:cs="Arial" w:eastAsia="Arial" w:hAnsi="Arial"/>
                <w:color w:val="333333"/>
                <w:sz w:val="20"/>
                <w:szCs w:val="20"/>
              </w:rPr>
              <w:t xml:space="preserve">Minimum C2 budget per library per cycle</w:t>
            </w:r>
          </w:p>
        </w:tc>
        <w:tc>
          <w:tcPr>
            <w:tcW w:type="dxa" w:w="2860"/>
            <w:tcBorders>
              <w:top w:val="single" w:color="C9B8DB" w:sz="1"/>
              <w:left w:val="single" w:color="C9B8DB" w:sz="1"/>
              <w:bottom w:val="single" w:color="C9B8DB" w:sz="1"/>
              <w:right w:val="single" w:color="C9B8DB" w:sz="1"/>
            </w:tcBorders>
            <w:shd w:fill="F5F3F8" w:val="clear"/>
            <w:tcMar>
              <w:top w:type="dxa" w:w="100"/>
              <w:left w:type="dxa" w:w="160"/>
              <w:bottom w:type="dxa" w:w="100"/>
              <w:right w:type="dxa" w:w="160"/>
            </w:tcMar>
          </w:tcPr>
          <w:p>
            <w:pPr>
              <w:jc w:val="center"/>
            </w:pPr>
            <w:r>
              <w:rPr>
                <w:rFonts w:ascii="Arial" w:cs="Arial" w:eastAsia="Arial" w:hAnsi="Arial"/>
                <w:b/>
                <w:bCs/>
                <w:color w:val="1C1228"/>
                <w:sz w:val="20"/>
                <w:szCs w:val="20"/>
              </w:rPr>
              <w:t xml:space="preserve">$25,000</w:t>
            </w:r>
          </w:p>
        </w:tc>
      </w:tr>
      <w:tr>
        <w:tc>
          <w:tcPr>
            <w:tcW w:type="dxa" w:w="6500"/>
            <w:tcBorders>
              <w:top w:val="single" w:color="C9B8DB" w:sz="1"/>
              <w:left w:val="single" w:color="C9B8DB" w:sz="1"/>
              <w:bottom w:val="single" w:color="C9B8DB" w:sz="1"/>
              <w:right w:val="single" w:color="C9B8DB" w:sz="1"/>
            </w:tcBorders>
            <w:shd w:fill="F5F3F8" w:val="clear"/>
            <w:tcMar>
              <w:top w:type="dxa" w:w="100"/>
              <w:left w:type="dxa" w:w="160"/>
              <w:bottom w:type="dxa" w:w="100"/>
              <w:right w:type="dxa" w:w="160"/>
            </w:tcMar>
          </w:tcPr>
          <w:p>
            <w:r>
              <w:rPr>
                <w:rFonts w:ascii="Arial" w:cs="Arial" w:eastAsia="Arial" w:hAnsi="Arial"/>
                <w:color w:val="333333"/>
                <w:sz w:val="20"/>
                <w:szCs w:val="20"/>
              </w:rPr>
              <w:t xml:space="preserve">Average C2 budget — libraries that applied</w:t>
            </w:r>
          </w:p>
        </w:tc>
        <w:tc>
          <w:tcPr>
            <w:tcW w:type="dxa" w:w="2860"/>
            <w:tcBorders>
              <w:top w:val="single" w:color="C9B8DB" w:sz="1"/>
              <w:left w:val="single" w:color="C9B8DB" w:sz="1"/>
              <w:bottom w:val="single" w:color="C9B8DB" w:sz="1"/>
              <w:right w:val="single" w:color="C9B8DB" w:sz="1"/>
            </w:tcBorders>
            <w:shd w:fill="F5F3F8" w:val="clear"/>
            <w:tcMar>
              <w:top w:type="dxa" w:w="100"/>
              <w:left w:type="dxa" w:w="160"/>
              <w:bottom w:type="dxa" w:w="100"/>
              <w:right w:type="dxa" w:w="160"/>
            </w:tcMar>
          </w:tcPr>
          <w:p>
            <w:pPr>
              <w:jc w:val="center"/>
            </w:pPr>
            <w:r>
              <w:rPr>
                <w:rFonts w:ascii="Arial" w:cs="Arial" w:eastAsia="Arial" w:hAnsi="Arial"/>
                <w:b/>
                <w:bCs/>
                <w:color w:val="1C1228"/>
                <w:sz w:val="20"/>
                <w:szCs w:val="20"/>
              </w:rPr>
              <w:t xml:space="preserve">$284,744</w:t>
            </w:r>
          </w:p>
        </w:tc>
      </w:tr>
      <w:tr>
        <w:tc>
          <w:tcPr>
            <w:tcW w:type="dxa" w:w="6500"/>
            <w:tcBorders>
              <w:top w:val="single" w:color="C9B8DB" w:sz="1"/>
              <w:left w:val="single" w:color="C9B8DB" w:sz="1"/>
              <w:bottom w:val="single" w:color="C9B8DB" w:sz="1"/>
              <w:right w:val="single" w:color="C9B8DB" w:sz="1"/>
            </w:tcBorders>
            <w:shd w:fill="F5F3F8" w:val="clear"/>
            <w:tcMar>
              <w:top w:type="dxa" w:w="100"/>
              <w:left w:type="dxa" w:w="160"/>
              <w:bottom w:type="dxa" w:w="100"/>
              <w:right w:type="dxa" w:w="160"/>
            </w:tcMar>
          </w:tcPr>
          <w:p>
            <w:r>
              <w:rPr>
                <w:rFonts w:ascii="Arial" w:cs="Arial" w:eastAsia="Arial" w:hAnsi="Arial"/>
                <w:color w:val="333333"/>
                <w:sz w:val="20"/>
                <w:szCs w:val="20"/>
              </w:rPr>
              <w:t xml:space="preserve">Average C2 budget — libraries that did not apply</w:t>
            </w:r>
          </w:p>
        </w:tc>
        <w:tc>
          <w:tcPr>
            <w:tcW w:type="dxa" w:w="2860"/>
            <w:tcBorders>
              <w:top w:val="single" w:color="C9B8DB" w:sz="1"/>
              <w:left w:val="single" w:color="C9B8DB" w:sz="1"/>
              <w:bottom w:val="single" w:color="C9B8DB" w:sz="1"/>
              <w:right w:val="single" w:color="C9B8DB" w:sz="1"/>
            </w:tcBorders>
            <w:shd w:fill="F5F3F8" w:val="clear"/>
            <w:tcMar>
              <w:top w:type="dxa" w:w="100"/>
              <w:left w:type="dxa" w:w="160"/>
              <w:bottom w:type="dxa" w:w="100"/>
              <w:right w:type="dxa" w:w="160"/>
            </w:tcMar>
          </w:tcPr>
          <w:p>
            <w:pPr>
              <w:jc w:val="center"/>
            </w:pPr>
            <w:r>
              <w:rPr>
                <w:rFonts w:ascii="Arial" w:cs="Arial" w:eastAsia="Arial" w:hAnsi="Arial"/>
                <w:b/>
                <w:bCs/>
                <w:color w:val="1C1228"/>
                <w:sz w:val="20"/>
                <w:szCs w:val="20"/>
              </w:rPr>
              <w:t xml:space="preserve">$94,652</w:t>
            </w:r>
          </w:p>
        </w:tc>
      </w:tr>
      <w:tr>
        <w:tc>
          <w:tcPr>
            <w:tcW w:type="dxa" w:w="6500"/>
            <w:tcBorders>
              <w:top w:val="single" w:color="C9B8DB" w:sz="1"/>
              <w:left w:val="single" w:color="C9B8DB" w:sz="1"/>
              <w:bottom w:val="single" w:color="C9B8DB" w:sz="1"/>
              <w:right w:val="single" w:color="C9B8DB" w:sz="1"/>
            </w:tcBorders>
            <w:shd w:fill="F5F3F8" w:val="clear"/>
            <w:tcMar>
              <w:top w:type="dxa" w:w="100"/>
              <w:left w:type="dxa" w:w="160"/>
              <w:bottom w:type="dxa" w:w="100"/>
              <w:right w:type="dxa" w:w="160"/>
            </w:tcMar>
          </w:tcPr>
          <w:p>
            <w:r>
              <w:rPr>
                <w:rFonts w:ascii="Arial" w:cs="Arial" w:eastAsia="Arial" w:hAnsi="Arial"/>
                <w:color w:val="333333"/>
                <w:sz w:val="20"/>
                <w:szCs w:val="20"/>
              </w:rPr>
              <w:t xml:space="preserve">Average size of funded libraries</w:t>
            </w:r>
          </w:p>
        </w:tc>
        <w:tc>
          <w:tcPr>
            <w:tcW w:type="dxa" w:w="2860"/>
            <w:tcBorders>
              <w:top w:val="single" w:color="C9B8DB" w:sz="1"/>
              <w:left w:val="single" w:color="C9B8DB" w:sz="1"/>
              <w:bottom w:val="single" w:color="C9B8DB" w:sz="1"/>
              <w:right w:val="single" w:color="C9B8DB" w:sz="1"/>
            </w:tcBorders>
            <w:shd w:fill="F5F3F8" w:val="clear"/>
            <w:tcMar>
              <w:top w:type="dxa" w:w="100"/>
              <w:left w:type="dxa" w:w="160"/>
              <w:bottom w:type="dxa" w:w="100"/>
              <w:right w:type="dxa" w:w="160"/>
            </w:tcMar>
          </w:tcPr>
          <w:p>
            <w:pPr>
              <w:jc w:val="center"/>
            </w:pPr>
            <w:r>
              <w:rPr>
                <w:rFonts w:ascii="Arial" w:cs="Arial" w:eastAsia="Arial" w:hAnsi="Arial"/>
                <w:b/>
                <w:bCs/>
                <w:color w:val="1C1228"/>
                <w:sz w:val="20"/>
                <w:szCs w:val="20"/>
              </w:rPr>
              <w:t xml:space="preserve">63,239 sq ft</w:t>
            </w:r>
          </w:p>
        </w:tc>
      </w:tr>
      <w:tr>
        <w:tc>
          <w:tcPr>
            <w:tcW w:type="dxa" w:w="6500"/>
            <w:tcBorders>
              <w:top w:val="single" w:color="C9B8DB" w:sz="1"/>
              <w:left w:val="single" w:color="C9B8DB" w:sz="1"/>
              <w:bottom w:val="single" w:color="C9B8DB" w:sz="1"/>
              <w:right w:val="single" w:color="C9B8DB" w:sz="1"/>
            </w:tcBorders>
            <w:shd w:fill="F5F3F8" w:val="clear"/>
            <w:tcMar>
              <w:top w:type="dxa" w:w="100"/>
              <w:left w:type="dxa" w:w="160"/>
              <w:bottom w:type="dxa" w:w="100"/>
              <w:right w:type="dxa" w:w="160"/>
            </w:tcMar>
          </w:tcPr>
          <w:p>
            <w:r>
              <w:rPr>
                <w:rFonts w:ascii="Arial" w:cs="Arial" w:eastAsia="Arial" w:hAnsi="Arial"/>
                <w:color w:val="333333"/>
                <w:sz w:val="20"/>
                <w:szCs w:val="20"/>
              </w:rPr>
              <w:t xml:space="preserve">Average size of unfunded libraries</w:t>
            </w:r>
          </w:p>
        </w:tc>
        <w:tc>
          <w:tcPr>
            <w:tcW w:type="dxa" w:w="2860"/>
            <w:tcBorders>
              <w:top w:val="single" w:color="C9B8DB" w:sz="1"/>
              <w:left w:val="single" w:color="C9B8DB" w:sz="1"/>
              <w:bottom w:val="single" w:color="C9B8DB" w:sz="1"/>
              <w:right w:val="single" w:color="C9B8DB" w:sz="1"/>
            </w:tcBorders>
            <w:shd w:fill="F5F3F8" w:val="clear"/>
            <w:tcMar>
              <w:top w:type="dxa" w:w="100"/>
              <w:left w:type="dxa" w:w="160"/>
              <w:bottom w:type="dxa" w:w="100"/>
              <w:right w:type="dxa" w:w="160"/>
            </w:tcMar>
          </w:tcPr>
          <w:p>
            <w:pPr>
              <w:jc w:val="center"/>
            </w:pPr>
            <w:r>
              <w:rPr>
                <w:rFonts w:ascii="Arial" w:cs="Arial" w:eastAsia="Arial" w:hAnsi="Arial"/>
                <w:b/>
                <w:bCs/>
                <w:color w:val="1C1228"/>
                <w:sz w:val="20"/>
                <w:szCs w:val="20"/>
              </w:rPr>
              <w:t xml:space="preserve">17,230 sq ft</w:t>
            </w:r>
          </w:p>
        </w:tc>
      </w:tr>
      <w:tr>
        <w:tc>
          <w:tcPr>
            <w:tcW w:type="dxa" w:w="6500"/>
            <w:tcBorders>
              <w:top w:val="single" w:color="C9B8DB" w:sz="1"/>
              <w:left w:val="single" w:color="C9B8DB" w:sz="1"/>
              <w:bottom w:val="single" w:color="C9B8DB" w:sz="1"/>
              <w:right w:val="single" w:color="C9B8DB" w:sz="1"/>
            </w:tcBorders>
            <w:shd w:fill="F5F3F8" w:val="clear"/>
            <w:tcMar>
              <w:top w:type="dxa" w:w="100"/>
              <w:left w:type="dxa" w:w="160"/>
              <w:bottom w:type="dxa" w:w="100"/>
              <w:right w:type="dxa" w:w="160"/>
            </w:tcMar>
          </w:tcPr>
          <w:p>
            <w:r>
              <w:rPr>
                <w:rFonts w:ascii="Arial" w:cs="Arial" w:eastAsia="Arial" w:hAnsi="Arial"/>
                <w:color w:val="333333"/>
                <w:sz w:val="20"/>
                <w:szCs w:val="20"/>
              </w:rPr>
              <w:t xml:space="preserve">Libraries that used a professional consultant</w:t>
            </w:r>
          </w:p>
        </w:tc>
        <w:tc>
          <w:tcPr>
            <w:tcW w:type="dxa" w:w="2860"/>
            <w:tcBorders>
              <w:top w:val="single" w:color="C9B8DB" w:sz="1"/>
              <w:left w:val="single" w:color="C9B8DB" w:sz="1"/>
              <w:bottom w:val="single" w:color="C9B8DB" w:sz="1"/>
              <w:right w:val="single" w:color="C9B8DB" w:sz="1"/>
            </w:tcBorders>
            <w:shd w:fill="F5F3F8" w:val="clear"/>
            <w:tcMar>
              <w:top w:type="dxa" w:w="100"/>
              <w:left w:type="dxa" w:w="160"/>
              <w:bottom w:type="dxa" w:w="100"/>
              <w:right w:type="dxa" w:w="160"/>
            </w:tcMar>
          </w:tcPr>
          <w:p>
            <w:pPr>
              <w:jc w:val="center"/>
            </w:pPr>
            <w:r>
              <w:rPr>
                <w:rFonts w:ascii="Arial" w:cs="Arial" w:eastAsia="Arial" w:hAnsi="Arial"/>
                <w:b/>
                <w:bCs/>
                <w:color w:val="1C1228"/>
                <w:sz w:val="20"/>
                <w:szCs w:val="20"/>
              </w:rPr>
              <w:t xml:space="preserve">3  (of 321)</w:t>
            </w:r>
          </w:p>
        </w:tc>
      </w:tr>
    </w:tbl>
    <w:p>
      <w:pPr>
        <w:spacing w:before="80" w:after="80"/>
      </w:pPr>
      <w:r>
        <w:t xml:space="preserve"/>
      </w:r>
    </w:p>
    <w:p>
      <w:pPr>
        <w:spacing w:before="80" w:after="120" w:line="276"/>
      </w:pPr>
      <w:r>
        <w:rPr>
          <w:rFonts w:ascii="Arial" w:cs="Arial" w:eastAsia="Arial" w:hAnsi="Arial"/>
          <w:color w:val="2E2E2E"/>
          <w:sz w:val="22"/>
          <w:szCs w:val="22"/>
        </w:rPr>
        <w:t xml:space="preserve">One finding stands out above all others: </w:t>
      </w:r>
      <w:r>
        <w:rPr>
          <w:rFonts w:ascii="Arial" w:cs="Arial" w:eastAsia="Arial" w:hAnsi="Arial"/>
          <w:b/>
          <w:bCs/>
          <w:color w:val="2E2E2E"/>
          <w:sz w:val="22"/>
          <w:szCs w:val="22"/>
        </w:rPr>
        <w:t xml:space="preserve">every library that used a professional E-rate consultant received funding.</w:t>
      </w:r>
      <w:r>
        <w:rPr>
          <w:rFonts w:ascii="Arial" w:cs="Arial" w:eastAsia="Arial" w:hAnsi="Arial"/>
          <w:color w:val="2E2E2E"/>
          <w:sz w:val="22"/>
          <w:szCs w:val="22"/>
        </w:rPr>
        <w:t xml:space="preserve"> Every library that tried to navigate the process alone was dramatically less likely to succeed. This is not a coincidence.</w:t>
      </w:r>
    </w:p>
    <w:p>
      <w:pPr>
        <w:spacing w:before="60" w:after="60"/>
      </w:pPr>
      <w:r>
        <w:t xml:space="preserve"/>
      </w:r>
    </w:p>
    <w:p>
      <w:pPr>
        <w:pStyle w:val="Heading1"/>
        <w:pBdr>
          <w:bottom w:val="single" w:color="7A4DA0" w:sz="8" w:space="4"/>
        </w:pBdr>
        <w:spacing w:before="440" w:after="160"/>
      </w:pPr>
      <w:r>
        <w:rPr>
          <w:rFonts w:ascii="Arial" w:cs="Arial" w:eastAsia="Arial" w:hAnsi="Arial"/>
          <w:b/>
          <w:bCs/>
          <w:color w:val="1C1228"/>
          <w:sz w:val="32"/>
          <w:szCs w:val="32"/>
        </w:rPr>
        <w:t xml:space="preserve">How E-Rate Category 2 Funding Works</w:t>
      </w:r>
    </w:p>
    <w:p>
      <w:pPr>
        <w:spacing w:before="80" w:after="120" w:line="276"/>
      </w:pPr>
      <w:r>
        <w:rPr>
          <w:rFonts w:ascii="Arial" w:cs="Arial" w:eastAsia="Arial" w:hAnsi="Arial"/>
          <w:color w:val="2E2E2E"/>
          <w:sz w:val="22"/>
          <w:szCs w:val="22"/>
        </w:rPr>
        <w:t xml:space="preserve">E-rate is administered by the Universal Service Administrative Company (USAC) under the FCC. Category 2 funding specifically supports internal network infrastructure — meaning the equipment that distributes your internet connection throughout your building. Eligible purchases include:</w:t>
      </w:r>
    </w:p>
    <w:p>
      <w:pPr>
        <w:spacing w:before="40" w:after="40"/>
      </w:pPr>
      <w:r>
        <w:t xml:space="preserve"/>
      </w:r>
    </w:p>
    <w:p>
      <w:pPr>
        <w:pStyle w:val="ListParagraph"/>
        <w:numPr>
          <w:ilvl w:val="0"/>
          <w:numId w:val="2"/>
        </w:numPr>
        <w:spacing w:before="60" w:after="60"/>
      </w:pPr>
      <w:r>
        <w:rPr>
          <w:rFonts w:ascii="Arial" w:cs="Arial" w:eastAsia="Arial" w:hAnsi="Arial"/>
          <w:color w:val="2E2E2E"/>
          <w:sz w:val="22"/>
          <w:szCs w:val="22"/>
        </w:rPr>
        <w:t xml:space="preserve">Wireless access points and controllers</w:t>
      </w:r>
    </w:p>
    <w:p>
      <w:pPr>
        <w:pStyle w:val="ListParagraph"/>
        <w:numPr>
          <w:ilvl w:val="0"/>
          <w:numId w:val="2"/>
        </w:numPr>
        <w:spacing w:before="60" w:after="60"/>
      </w:pPr>
      <w:r>
        <w:rPr>
          <w:rFonts w:ascii="Arial" w:cs="Arial" w:eastAsia="Arial" w:hAnsi="Arial"/>
          <w:color w:val="2E2E2E"/>
          <w:sz w:val="22"/>
          <w:szCs w:val="22"/>
        </w:rPr>
        <w:t xml:space="preserve">Network switches and routers</w:t>
      </w:r>
    </w:p>
    <w:p>
      <w:pPr>
        <w:pStyle w:val="ListParagraph"/>
        <w:numPr>
          <w:ilvl w:val="0"/>
          <w:numId w:val="2"/>
        </w:numPr>
        <w:spacing w:before="60" w:after="60"/>
      </w:pPr>
      <w:r>
        <w:rPr>
          <w:rFonts w:ascii="Arial" w:cs="Arial" w:eastAsia="Arial" w:hAnsi="Arial"/>
          <w:color w:val="2E2E2E"/>
          <w:sz w:val="22"/>
          <w:szCs w:val="22"/>
        </w:rPr>
        <w:t xml:space="preserve">Structured cabling and related installation</w:t>
      </w:r>
    </w:p>
    <w:p>
      <w:pPr>
        <w:pStyle w:val="ListParagraph"/>
        <w:numPr>
          <w:ilvl w:val="0"/>
          <w:numId w:val="2"/>
        </w:numPr>
        <w:spacing w:before="60" w:after="60"/>
      </w:pPr>
      <w:r>
        <w:rPr>
          <w:rFonts w:ascii="Arial" w:cs="Arial" w:eastAsia="Arial" w:hAnsi="Arial"/>
          <w:color w:val="2E2E2E"/>
          <w:sz w:val="22"/>
          <w:szCs w:val="22"/>
        </w:rPr>
        <w:t xml:space="preserve">Firewalls and network security appliances</w:t>
      </w:r>
    </w:p>
    <w:p>
      <w:pPr>
        <w:pStyle w:val="ListParagraph"/>
        <w:numPr>
          <w:ilvl w:val="0"/>
          <w:numId w:val="2"/>
        </w:numPr>
        <w:spacing w:before="60" w:after="60"/>
      </w:pPr>
      <w:r>
        <w:rPr>
          <w:rFonts w:ascii="Arial" w:cs="Arial" w:eastAsia="Arial" w:hAnsi="Arial"/>
          <w:color w:val="2E2E2E"/>
          <w:sz w:val="22"/>
          <w:szCs w:val="22"/>
        </w:rPr>
        <w:t xml:space="preserve">UPS (uninterruptible power supply) units for network equipment</w:t>
      </w:r>
    </w:p>
    <w:p>
      <w:pPr>
        <w:spacing w:before="60" w:after="60"/>
      </w:pPr>
      <w:r>
        <w:t xml:space="preserve"/>
      </w:r>
    </w:p>
    <w:p>
      <w:pPr>
        <w:spacing w:before="80" w:after="120" w:line="276"/>
      </w:pPr>
      <w:r>
        <w:rPr>
          <w:rFonts w:ascii="Arial" w:cs="Arial" w:eastAsia="Arial" w:hAnsi="Arial"/>
          <w:color w:val="2E2E2E"/>
          <w:sz w:val="22"/>
          <w:szCs w:val="22"/>
        </w:rPr>
        <w:t xml:space="preserve">Funding is provided as a discount on eligible purchases. Most public libraries qualify for a discount between 30% and 90%, depending on their community's poverty rate and rural/urban status. The discount is applied directly — you purchase the equipment, and E-rate reimburses the eligible portion.</w:t>
      </w:r>
    </w:p>
    <w:p>
      <w:pPr>
        <w:spacing w:before="60" w:after="60"/>
      </w:pPr>
      <w:r>
        <w:t xml:space="preserve"/>
      </w:r>
    </w:p>
    <w:p>
      <w:pPr>
        <w:pBdr>
          <w:left w:val="single" w:color="7A4DA0" w:sz="20" w:space="12"/>
        </w:pBdr>
        <w:shd w:fill="EDE5F5" w:val="clear"/>
        <w:spacing w:before="180" w:after="180"/>
        <w:ind w:left="640"/>
      </w:pPr>
      <w:r>
        <w:rPr>
          <w:rFonts w:ascii="Arial" w:cs="Arial" w:eastAsia="Arial" w:hAnsi="Arial"/>
          <w:i/>
          <w:iCs/>
          <w:color w:val="1C1228"/>
          <w:sz w:val="22"/>
          <w:szCs w:val="22"/>
        </w:rPr>
        <w:t xml:space="preserve">A library with a $50,000 C2 budget and a 70% discount rate effectively gets $35,000 in technology at no cost. The remaining $15,000 comes from the library's own budget — but the network equipment is yours outright.</w:t>
      </w:r>
    </w:p>
    <w:p>
      <w:pPr>
        <w:spacing w:before="60" w:after="60"/>
      </w:pPr>
      <w:r>
        <w:t xml:space="preserve"/>
      </w:r>
    </w:p>
    <w:p>
      <w:pPr>
        <w:pStyle w:val="Heading2"/>
        <w:spacing w:before="280" w:after="100"/>
      </w:pPr>
      <w:r>
        <w:rPr>
          <w:rFonts w:ascii="Arial" w:cs="Arial" w:eastAsia="Arial" w:hAnsi="Arial"/>
          <w:b/>
          <w:bCs/>
          <w:color w:val="7A4DA0"/>
          <w:sz w:val="26"/>
          <w:szCs w:val="26"/>
        </w:rPr>
        <w:t xml:space="preserve">The Five-Year Budget Cycle</w:t>
      </w:r>
    </w:p>
    <w:p>
      <w:pPr>
        <w:spacing w:before="80" w:after="120" w:line="276"/>
      </w:pPr>
      <w:r>
        <w:rPr>
          <w:rFonts w:ascii="Arial" w:cs="Arial" w:eastAsia="Arial" w:hAnsi="Arial"/>
          <w:color w:val="2E2E2E"/>
          <w:sz w:val="22"/>
          <w:szCs w:val="22"/>
        </w:rPr>
        <w:t xml:space="preserve">C2 budgets are calculated and awarded per five-year funding cycle. The current cycle (FY2026–2030) just began. That means every library in Wisconsin has a fresh C2 budget available right now — and the application window for this cycle is open.</w:t>
      </w:r>
    </w:p>
    <w:p>
      <w:pPr>
        <w:spacing w:before="60" w:after="60"/>
      </w:pPr>
      <w:r>
        <w:t xml:space="preserve"/>
      </w:r>
    </w:p>
    <w:p>
      <w:pPr>
        <w:spacing w:before="80" w:after="120" w:line="276"/>
      </w:pPr>
      <w:r>
        <w:rPr>
          <w:rFonts w:ascii="Arial" w:cs="Arial" w:eastAsia="Arial" w:hAnsi="Arial"/>
          <w:color w:val="2E2E2E"/>
          <w:sz w:val="22"/>
          <w:szCs w:val="22"/>
        </w:rPr>
        <w:t xml:space="preserve">Your library's exact C2 budget depends on your square footage, but the program floor is $25,000 for any library, regardless of size. Libraries over approximately 5,500 square feet have proportionally larger budgets.</w:t>
      </w:r>
    </w:p>
    <w:p>
      <w:pPr>
        <w:spacing w:before="60" w:after="60"/>
      </w:pPr>
      <w:r>
        <w:t xml:space="preserve"/>
      </w:r>
    </w:p>
    <w:p>
      <w:pPr>
        <w:pStyle w:val="Heading1"/>
        <w:pBdr>
          <w:bottom w:val="single" w:color="7A4DA0" w:sz="8" w:space="4"/>
        </w:pBdr>
        <w:spacing w:before="440" w:after="160"/>
      </w:pPr>
      <w:r>
        <w:rPr>
          <w:rFonts w:ascii="Arial" w:cs="Arial" w:eastAsia="Arial" w:hAnsi="Arial"/>
          <w:b/>
          <w:bCs/>
          <w:color w:val="1C1228"/>
          <w:sz w:val="32"/>
          <w:szCs w:val="32"/>
        </w:rPr>
        <w:t xml:space="preserve">Why Most Libraries Haven't Applied</w:t>
      </w:r>
    </w:p>
    <w:p>
      <w:pPr>
        <w:spacing w:before="80" w:after="120" w:line="276"/>
      </w:pPr>
      <w:r>
        <w:rPr>
          <w:rFonts w:ascii="Arial" w:cs="Arial" w:eastAsia="Arial" w:hAnsi="Arial"/>
          <w:color w:val="2E2E2E"/>
          <w:sz w:val="22"/>
          <w:szCs w:val="22"/>
        </w:rPr>
        <w:t xml:space="preserve">If the funding is real and the eligibility is broad, why are 301 Wisconsin libraries leaving it behind? The honest answer is that the application process is genuinely complex — and it was designed by the federal government, which means it has layers.</w:t>
      </w:r>
    </w:p>
    <w:p>
      <w:pPr>
        <w:spacing w:before="60" w:after="60"/>
      </w:pPr>
      <w:r>
        <w:t xml:space="preserve"/>
      </w:r>
    </w:p>
    <w:p>
      <w:pPr>
        <w:spacing w:before="80" w:after="120" w:line="276"/>
      </w:pPr>
      <w:r>
        <w:rPr>
          <w:rFonts w:ascii="Arial" w:cs="Arial" w:eastAsia="Arial" w:hAnsi="Arial"/>
          <w:color w:val="2E2E2E"/>
          <w:sz w:val="22"/>
          <w:szCs w:val="22"/>
        </w:rPr>
        <w:t xml:space="preserve">Here is what a complete E-rate C2 application requires:</w:t>
      </w:r>
    </w:p>
    <w:p>
      <w:pPr>
        <w:spacing w:before="40" w:after="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8560"/>
      </w:tblGrid>
      <w:tr>
        <w:tc>
          <w:tcPr>
            <w:tcW w:type="dxa" w:w="800"/>
            <w:tcBorders>
              <w:top w:val="none" w:color="FFFFFF" w:sz="0"/>
              <w:left w:val="none" w:color="FFFFFF" w:sz="0"/>
              <w:bottom w:val="none" w:color="FFFFFF" w:sz="0"/>
              <w:right w:val="none" w:color="FFFFFF" w:sz="0"/>
            </w:tcBorders>
            <w:shd w:fill="7A4DA0" w:val="clear"/>
            <w:tcMar>
              <w:top w:type="dxa" w:w="120"/>
              <w:left w:type="dxa" w:w="100"/>
              <w:bottom w:type="dxa" w:w="120"/>
              <w:right w:type="dxa" w:w="100"/>
            </w:tcMar>
            <w:vAlign w:val="center"/>
          </w:tcPr>
          <w:p>
            <w:pPr>
              <w:jc w:val="center"/>
            </w:pPr>
            <w:r>
              <w:rPr>
                <w:rFonts w:ascii="Arial" w:cs="Arial" w:eastAsia="Arial" w:hAnsi="Arial"/>
                <w:b/>
                <w:bCs/>
                <w:color w:val="FFFFFF"/>
                <w:sz w:val="28"/>
                <w:szCs w:val="28"/>
              </w:rPr>
              <w:t xml:space="preserve">1</w:t>
            </w:r>
          </w:p>
        </w:tc>
        <w:tc>
          <w:tcPr>
            <w:tcW w:type="dxa" w:w="8560"/>
            <w:tcBorders>
              <w:top w:val="none" w:color="FFFFFF" w:sz="0"/>
              <w:left w:val="none" w:color="FFFFFF" w:sz="0"/>
              <w:bottom w:val="none" w:color="FFFFFF" w:sz="0"/>
              <w:right w:val="none" w:color="FFFFFF" w:sz="0"/>
            </w:tcBorders>
            <w:shd w:fill="F5F3F8" w:val="clear"/>
            <w:tcMar>
              <w:top w:type="dxa" w:w="120"/>
              <w:left w:type="dxa" w:w="200"/>
              <w:bottom w:type="dxa" w:w="120"/>
              <w:right w:type="dxa" w:w="160"/>
            </w:tcMar>
          </w:tcPr>
          <w:p>
            <w:pPr>
              <w:spacing w:before="0" w:after="40"/>
            </w:pPr>
            <w:r>
              <w:rPr>
                <w:rFonts w:ascii="Arial" w:cs="Arial" w:eastAsia="Arial" w:hAnsi="Arial"/>
                <w:b/>
                <w:bCs/>
                <w:color w:val="1C1228"/>
                <w:sz w:val="22"/>
                <w:szCs w:val="22"/>
              </w:rPr>
              <w:t xml:space="preserve">File a Form 470 — open a competitive bidding window</w:t>
            </w:r>
          </w:p>
          <w:p>
            <w:pPr>
              <w:spacing w:before="0" w:after="0"/>
            </w:pPr>
            <w:r>
              <w:rPr>
                <w:rFonts w:ascii="Arial" w:cs="Arial" w:eastAsia="Arial" w:hAnsi="Arial"/>
                <w:color w:val="555555"/>
                <w:sz w:val="20"/>
                <w:szCs w:val="20"/>
              </w:rPr>
              <w:t xml:space="preserve">Your library must post a public solicitation for bids and wait a mandatory 28 days before selecting a vendor. The form must describe your technology needs accurately enough to receive compliant bids.</w:t>
            </w:r>
          </w:p>
        </w:tc>
      </w:tr>
      <w:tr>
        <w:tc>
          <w:tcPr>
            <w:tcW w:type="dxa" w:w="9360"/>
            <w:tcBorders>
              <w:top w:val="none" w:color="FFFFFF" w:sz="0"/>
              <w:left w:val="none" w:color="FFFFFF" w:sz="0"/>
              <w:bottom w:val="none" w:color="FFFFFF" w:sz="0"/>
              <w:right w:val="none" w:color="FFFFFF" w:sz="0"/>
            </w:tcBorders>
            <w:shd w:fill="FFFFFF" w:val="clear"/>
            <w:tcMar>
              <w:top w:type="dxa" w:w="6"/>
              <w:left w:type="dxa" w:w="0"/>
              <w:bottom w:type="dxa" w:w="6"/>
              <w:right w:type="dxa" w:w="0"/>
            </w:tcMar>
          </w:tcPr>
          <w:p>
            <w:r>
              <w:t xml:space="preserve"/>
            </w:r>
          </w:p>
        </w:tc>
      </w:tr>
      <w:tr>
        <w:tc>
          <w:tcPr>
            <w:tcW w:type="dxa" w:w="800"/>
            <w:tcBorders>
              <w:top w:val="none" w:color="FFFFFF" w:sz="0"/>
              <w:left w:val="none" w:color="FFFFFF" w:sz="0"/>
              <w:bottom w:val="none" w:color="FFFFFF" w:sz="0"/>
              <w:right w:val="none" w:color="FFFFFF" w:sz="0"/>
            </w:tcBorders>
            <w:shd w:fill="7A4DA0" w:val="clear"/>
            <w:tcMar>
              <w:top w:type="dxa" w:w="120"/>
              <w:left w:type="dxa" w:w="100"/>
              <w:bottom w:type="dxa" w:w="120"/>
              <w:right w:type="dxa" w:w="100"/>
            </w:tcMar>
            <w:vAlign w:val="center"/>
          </w:tcPr>
          <w:p>
            <w:pPr>
              <w:jc w:val="center"/>
            </w:pPr>
            <w:r>
              <w:rPr>
                <w:rFonts w:ascii="Arial" w:cs="Arial" w:eastAsia="Arial" w:hAnsi="Arial"/>
                <w:b/>
                <w:bCs/>
                <w:color w:val="FFFFFF"/>
                <w:sz w:val="28"/>
                <w:szCs w:val="28"/>
              </w:rPr>
              <w:t xml:space="preserve">2</w:t>
            </w:r>
          </w:p>
        </w:tc>
        <w:tc>
          <w:tcPr>
            <w:tcW w:type="dxa" w:w="8560"/>
            <w:tcBorders>
              <w:top w:val="none" w:color="FFFFFF" w:sz="0"/>
              <w:left w:val="none" w:color="FFFFFF" w:sz="0"/>
              <w:bottom w:val="none" w:color="FFFFFF" w:sz="0"/>
              <w:right w:val="none" w:color="FFFFFF" w:sz="0"/>
            </w:tcBorders>
            <w:shd w:fill="F5F3F8" w:val="clear"/>
            <w:tcMar>
              <w:top w:type="dxa" w:w="120"/>
              <w:left w:type="dxa" w:w="200"/>
              <w:bottom w:type="dxa" w:w="120"/>
              <w:right w:type="dxa" w:w="160"/>
            </w:tcMar>
          </w:tcPr>
          <w:p>
            <w:pPr>
              <w:spacing w:before="0" w:after="40"/>
            </w:pPr>
            <w:r>
              <w:rPr>
                <w:rFonts w:ascii="Arial" w:cs="Arial" w:eastAsia="Arial" w:hAnsi="Arial"/>
                <w:b/>
                <w:bCs/>
                <w:color w:val="1C1228"/>
                <w:sz w:val="22"/>
                <w:szCs w:val="22"/>
              </w:rPr>
              <w:t xml:space="preserve">Evaluate bids and select a vendor compliantly</w:t>
            </w:r>
          </w:p>
          <w:p>
            <w:pPr>
              <w:spacing w:before="0" w:after="0"/>
            </w:pPr>
            <w:r>
              <w:rPr>
                <w:rFonts w:ascii="Arial" w:cs="Arial" w:eastAsia="Arial" w:hAnsi="Arial"/>
                <w:color w:val="555555"/>
                <w:sz w:val="20"/>
                <w:szCs w:val="20"/>
              </w:rPr>
              <w:t xml:space="preserve">Vendor selection must follow USAC rules — price of eligible products must be the primary selection criterion. You need documentation of how you evaluated bids.</w:t>
            </w:r>
          </w:p>
        </w:tc>
      </w:tr>
      <w:tr>
        <w:tc>
          <w:tcPr>
            <w:tcW w:type="dxa" w:w="9360"/>
            <w:tcBorders>
              <w:top w:val="none" w:color="FFFFFF" w:sz="0"/>
              <w:left w:val="none" w:color="FFFFFF" w:sz="0"/>
              <w:bottom w:val="none" w:color="FFFFFF" w:sz="0"/>
              <w:right w:val="none" w:color="FFFFFF" w:sz="0"/>
            </w:tcBorders>
            <w:shd w:fill="FFFFFF" w:val="clear"/>
            <w:tcMar>
              <w:top w:type="dxa" w:w="6"/>
              <w:left w:type="dxa" w:w="0"/>
              <w:bottom w:type="dxa" w:w="6"/>
              <w:right w:type="dxa" w:w="0"/>
            </w:tcMar>
          </w:tcPr>
          <w:p>
            <w:r>
              <w:t xml:space="preserve"/>
            </w:r>
          </w:p>
        </w:tc>
      </w:tr>
      <w:tr>
        <w:tc>
          <w:tcPr>
            <w:tcW w:type="dxa" w:w="800"/>
            <w:tcBorders>
              <w:top w:val="none" w:color="FFFFFF" w:sz="0"/>
              <w:left w:val="none" w:color="FFFFFF" w:sz="0"/>
              <w:bottom w:val="none" w:color="FFFFFF" w:sz="0"/>
              <w:right w:val="none" w:color="FFFFFF" w:sz="0"/>
            </w:tcBorders>
            <w:shd w:fill="7A4DA0" w:val="clear"/>
            <w:tcMar>
              <w:top w:type="dxa" w:w="120"/>
              <w:left w:type="dxa" w:w="100"/>
              <w:bottom w:type="dxa" w:w="120"/>
              <w:right w:type="dxa" w:w="100"/>
            </w:tcMar>
            <w:vAlign w:val="center"/>
          </w:tcPr>
          <w:p>
            <w:pPr>
              <w:jc w:val="center"/>
            </w:pPr>
            <w:r>
              <w:rPr>
                <w:rFonts w:ascii="Arial" w:cs="Arial" w:eastAsia="Arial" w:hAnsi="Arial"/>
                <w:b/>
                <w:bCs/>
                <w:color w:val="FFFFFF"/>
                <w:sz w:val="28"/>
                <w:szCs w:val="28"/>
              </w:rPr>
              <w:t xml:space="preserve">3</w:t>
            </w:r>
          </w:p>
        </w:tc>
        <w:tc>
          <w:tcPr>
            <w:tcW w:type="dxa" w:w="8560"/>
            <w:tcBorders>
              <w:top w:val="none" w:color="FFFFFF" w:sz="0"/>
              <w:left w:val="none" w:color="FFFFFF" w:sz="0"/>
              <w:bottom w:val="none" w:color="FFFFFF" w:sz="0"/>
              <w:right w:val="none" w:color="FFFFFF" w:sz="0"/>
            </w:tcBorders>
            <w:shd w:fill="F5F3F8" w:val="clear"/>
            <w:tcMar>
              <w:top w:type="dxa" w:w="120"/>
              <w:left w:type="dxa" w:w="200"/>
              <w:bottom w:type="dxa" w:w="120"/>
              <w:right w:type="dxa" w:w="160"/>
            </w:tcMar>
          </w:tcPr>
          <w:p>
            <w:pPr>
              <w:spacing w:before="0" w:after="40"/>
            </w:pPr>
            <w:r>
              <w:rPr>
                <w:rFonts w:ascii="Arial" w:cs="Arial" w:eastAsia="Arial" w:hAnsi="Arial"/>
                <w:b/>
                <w:bCs/>
                <w:color w:val="1C1228"/>
                <w:sz w:val="22"/>
                <w:szCs w:val="22"/>
              </w:rPr>
              <w:t xml:space="preserve">File a Form 471 — request your funding commitment</w:t>
            </w:r>
          </w:p>
          <w:p>
            <w:pPr>
              <w:spacing w:before="0" w:after="0"/>
            </w:pPr>
            <w:r>
              <w:rPr>
                <w:rFonts w:ascii="Arial" w:cs="Arial" w:eastAsia="Arial" w:hAnsi="Arial"/>
                <w:color w:val="555555"/>
                <w:sz w:val="20"/>
                <w:szCs w:val="20"/>
              </w:rPr>
              <w:t xml:space="preserve">Within USAC's application window (typically January–March), you must file the funding request with accurate cost and service details. Errors here can delay or deny your application.</w:t>
            </w:r>
          </w:p>
        </w:tc>
      </w:tr>
      <w:tr>
        <w:tc>
          <w:tcPr>
            <w:tcW w:type="dxa" w:w="9360"/>
            <w:tcBorders>
              <w:top w:val="none" w:color="FFFFFF" w:sz="0"/>
              <w:left w:val="none" w:color="FFFFFF" w:sz="0"/>
              <w:bottom w:val="none" w:color="FFFFFF" w:sz="0"/>
              <w:right w:val="none" w:color="FFFFFF" w:sz="0"/>
            </w:tcBorders>
            <w:shd w:fill="FFFFFF" w:val="clear"/>
            <w:tcMar>
              <w:top w:type="dxa" w:w="6"/>
              <w:left w:type="dxa" w:w="0"/>
              <w:bottom w:type="dxa" w:w="6"/>
              <w:right w:type="dxa" w:w="0"/>
            </w:tcMar>
          </w:tcPr>
          <w:p>
            <w:r>
              <w:t xml:space="preserve"/>
            </w:r>
          </w:p>
        </w:tc>
      </w:tr>
      <w:tr>
        <w:tc>
          <w:tcPr>
            <w:tcW w:type="dxa" w:w="800"/>
            <w:tcBorders>
              <w:top w:val="none" w:color="FFFFFF" w:sz="0"/>
              <w:left w:val="none" w:color="FFFFFF" w:sz="0"/>
              <w:bottom w:val="none" w:color="FFFFFF" w:sz="0"/>
              <w:right w:val="none" w:color="FFFFFF" w:sz="0"/>
            </w:tcBorders>
            <w:shd w:fill="7A4DA0" w:val="clear"/>
            <w:tcMar>
              <w:top w:type="dxa" w:w="120"/>
              <w:left w:type="dxa" w:w="100"/>
              <w:bottom w:type="dxa" w:w="120"/>
              <w:right w:type="dxa" w:w="100"/>
            </w:tcMar>
            <w:vAlign w:val="center"/>
          </w:tcPr>
          <w:p>
            <w:pPr>
              <w:jc w:val="center"/>
            </w:pPr>
            <w:r>
              <w:rPr>
                <w:rFonts w:ascii="Arial" w:cs="Arial" w:eastAsia="Arial" w:hAnsi="Arial"/>
                <w:b/>
                <w:bCs/>
                <w:color w:val="FFFFFF"/>
                <w:sz w:val="28"/>
                <w:szCs w:val="28"/>
              </w:rPr>
              <w:t xml:space="preserve">4</w:t>
            </w:r>
          </w:p>
        </w:tc>
        <w:tc>
          <w:tcPr>
            <w:tcW w:type="dxa" w:w="8560"/>
            <w:tcBorders>
              <w:top w:val="none" w:color="FFFFFF" w:sz="0"/>
              <w:left w:val="none" w:color="FFFFFF" w:sz="0"/>
              <w:bottom w:val="none" w:color="FFFFFF" w:sz="0"/>
              <w:right w:val="none" w:color="FFFFFF" w:sz="0"/>
            </w:tcBorders>
            <w:shd w:fill="F5F3F8" w:val="clear"/>
            <w:tcMar>
              <w:top w:type="dxa" w:w="120"/>
              <w:left w:type="dxa" w:w="200"/>
              <w:bottom w:type="dxa" w:w="120"/>
              <w:right w:type="dxa" w:w="160"/>
            </w:tcMar>
          </w:tcPr>
          <w:p>
            <w:pPr>
              <w:spacing w:before="0" w:after="40"/>
            </w:pPr>
            <w:r>
              <w:rPr>
                <w:rFonts w:ascii="Arial" w:cs="Arial" w:eastAsia="Arial" w:hAnsi="Arial"/>
                <w:b/>
                <w:bCs/>
                <w:color w:val="1C1228"/>
                <w:sz w:val="22"/>
                <w:szCs w:val="22"/>
              </w:rPr>
              <w:t xml:space="preserve">Respond to PIA review questions</w:t>
            </w:r>
          </w:p>
          <w:p>
            <w:pPr>
              <w:spacing w:before="0" w:after="0"/>
            </w:pPr>
            <w:r>
              <w:rPr>
                <w:rFonts w:ascii="Arial" w:cs="Arial" w:eastAsia="Arial" w:hAnsi="Arial"/>
                <w:color w:val="555555"/>
                <w:sz w:val="20"/>
                <w:szCs w:val="20"/>
              </w:rPr>
              <w:t xml:space="preserve">USAC's Program Integrity Assurance (PIA) team may ask follow-up questions about your application. Slow or incomplete responses can result in funding reduction.</w:t>
            </w:r>
          </w:p>
        </w:tc>
      </w:tr>
      <w:tr>
        <w:tc>
          <w:tcPr>
            <w:tcW w:type="dxa" w:w="9360"/>
            <w:tcBorders>
              <w:top w:val="none" w:color="FFFFFF" w:sz="0"/>
              <w:left w:val="none" w:color="FFFFFF" w:sz="0"/>
              <w:bottom w:val="none" w:color="FFFFFF" w:sz="0"/>
              <w:right w:val="none" w:color="FFFFFF" w:sz="0"/>
            </w:tcBorders>
            <w:shd w:fill="FFFFFF" w:val="clear"/>
            <w:tcMar>
              <w:top w:type="dxa" w:w="6"/>
              <w:left w:type="dxa" w:w="0"/>
              <w:bottom w:type="dxa" w:w="6"/>
              <w:right w:type="dxa" w:w="0"/>
            </w:tcMar>
          </w:tcPr>
          <w:p>
            <w:r>
              <w:t xml:space="preserve"/>
            </w:r>
          </w:p>
        </w:tc>
      </w:tr>
      <w:tr>
        <w:tc>
          <w:tcPr>
            <w:tcW w:type="dxa" w:w="800"/>
            <w:tcBorders>
              <w:top w:val="none" w:color="FFFFFF" w:sz="0"/>
              <w:left w:val="none" w:color="FFFFFF" w:sz="0"/>
              <w:bottom w:val="none" w:color="FFFFFF" w:sz="0"/>
              <w:right w:val="none" w:color="FFFFFF" w:sz="0"/>
            </w:tcBorders>
            <w:shd w:fill="7A4DA0" w:val="clear"/>
            <w:tcMar>
              <w:top w:type="dxa" w:w="120"/>
              <w:left w:type="dxa" w:w="100"/>
              <w:bottom w:type="dxa" w:w="120"/>
              <w:right w:type="dxa" w:w="100"/>
            </w:tcMar>
            <w:vAlign w:val="center"/>
          </w:tcPr>
          <w:p>
            <w:pPr>
              <w:jc w:val="center"/>
            </w:pPr>
            <w:r>
              <w:rPr>
                <w:rFonts w:ascii="Arial" w:cs="Arial" w:eastAsia="Arial" w:hAnsi="Arial"/>
                <w:b/>
                <w:bCs/>
                <w:color w:val="FFFFFF"/>
                <w:sz w:val="28"/>
                <w:szCs w:val="28"/>
              </w:rPr>
              <w:t xml:space="preserve">5</w:t>
            </w:r>
          </w:p>
        </w:tc>
        <w:tc>
          <w:tcPr>
            <w:tcW w:type="dxa" w:w="8560"/>
            <w:tcBorders>
              <w:top w:val="none" w:color="FFFFFF" w:sz="0"/>
              <w:left w:val="none" w:color="FFFFFF" w:sz="0"/>
              <w:bottom w:val="none" w:color="FFFFFF" w:sz="0"/>
              <w:right w:val="none" w:color="FFFFFF" w:sz="0"/>
            </w:tcBorders>
            <w:shd w:fill="F5F3F8" w:val="clear"/>
            <w:tcMar>
              <w:top w:type="dxa" w:w="120"/>
              <w:left w:type="dxa" w:w="200"/>
              <w:bottom w:type="dxa" w:w="120"/>
              <w:right w:type="dxa" w:w="160"/>
            </w:tcMar>
          </w:tcPr>
          <w:p>
            <w:pPr>
              <w:spacing w:before="0" w:after="40"/>
            </w:pPr>
            <w:r>
              <w:rPr>
                <w:rFonts w:ascii="Arial" w:cs="Arial" w:eastAsia="Arial" w:hAnsi="Arial"/>
                <w:b/>
                <w:bCs/>
                <w:color w:val="1C1228"/>
                <w:sz w:val="22"/>
                <w:szCs w:val="22"/>
              </w:rPr>
              <w:t xml:space="preserve">Manage delivery, invoicing, and BEAR filing</w:t>
            </w:r>
          </w:p>
          <w:p>
            <w:pPr>
              <w:spacing w:before="0" w:after="0"/>
            </w:pPr>
            <w:r>
              <w:rPr>
                <w:rFonts w:ascii="Arial" w:cs="Arial" w:eastAsia="Arial" w:hAnsi="Arial"/>
                <w:color w:val="555555"/>
                <w:sz w:val="20"/>
                <w:szCs w:val="20"/>
              </w:rPr>
              <w:t xml:space="preserve">After receiving your Funding Commitment Decision Letter, you must coordinate delivery, pay the vendor, and file for reimbursement — all within specific timeframes.</w:t>
            </w:r>
          </w:p>
        </w:tc>
      </w:tr>
    </w:tbl>
    <w:p>
      <w:pPr>
        <w:spacing w:before="80" w:after="80"/>
      </w:pPr>
      <w:r>
        <w:t xml:space="preserve"/>
      </w:r>
    </w:p>
    <w:p>
      <w:pPr>
        <w:spacing w:before="80" w:after="120" w:line="276"/>
      </w:pPr>
      <w:r>
        <w:rPr>
          <w:rFonts w:ascii="Arial" w:cs="Arial" w:eastAsia="Arial" w:hAnsi="Arial"/>
          <w:color w:val="2E2E2E"/>
          <w:sz w:val="22"/>
          <w:szCs w:val="22"/>
        </w:rPr>
        <w:t xml:space="preserve">For a library director or administrator who is also managing programs, staff, budgets, and daily operations, this is a significant undertaking. It is not surprising that most libraries find it easier to simply go without.</w:t>
      </w:r>
    </w:p>
    <w:p>
      <w:pPr>
        <w:spacing w:before="60" w:after="60"/>
      </w:pPr>
      <w:r>
        <w:t xml:space="preserve"/>
      </w:r>
    </w:p>
    <w:p>
      <w:pPr>
        <w:pBdr>
          <w:left w:val="single" w:color="7A4DA0" w:sz="20" w:space="12"/>
        </w:pBdr>
        <w:shd w:fill="EDE5F5" w:val="clear"/>
        <w:spacing w:before="180" w:after="180"/>
        <w:ind w:left="640"/>
      </w:pPr>
      <w:r>
        <w:rPr>
          <w:rFonts w:ascii="Arial" w:cs="Arial" w:eastAsia="Arial" w:hAnsi="Arial"/>
          <w:i/>
          <w:iCs/>
          <w:color w:val="1C1228"/>
          <w:sz w:val="22"/>
          <w:szCs w:val="22"/>
        </w:rPr>
        <w:t xml:space="preserve">The libraries that succeeded in Wisconsin had one thing in common: they had someone who knew how to navigate the process. Whether that was a dedicated IT administrator, a regional library system coordinator, or a professional E-rate consultant — the process expertise made the difference.</w:t>
      </w:r>
    </w:p>
    <w:p>
      <w:pPr>
        <w:spacing w:before="60" w:after="60"/>
      </w:pPr>
      <w:r>
        <w:t xml:space="preserve"/>
      </w:r>
    </w:p>
    <w:p>
      <w:pPr>
        <w:pStyle w:val="Heading1"/>
        <w:pBdr>
          <w:bottom w:val="single" w:color="7A4DA0" w:sz="8" w:space="4"/>
        </w:pBdr>
        <w:spacing w:before="440" w:after="160"/>
      </w:pPr>
      <w:r>
        <w:rPr>
          <w:rFonts w:ascii="Arial" w:cs="Arial" w:eastAsia="Arial" w:hAnsi="Arial"/>
          <w:b/>
          <w:bCs/>
          <w:color w:val="1C1228"/>
          <w:sz w:val="32"/>
          <w:szCs w:val="32"/>
        </w:rPr>
        <w:t xml:space="preserve">What Libraries That Applied Have in Common</w:t>
      </w:r>
    </w:p>
    <w:p>
      <w:pPr>
        <w:spacing w:before="80" w:after="120" w:line="276"/>
      </w:pPr>
      <w:r>
        <w:rPr>
          <w:rFonts w:ascii="Arial" w:cs="Arial" w:eastAsia="Arial" w:hAnsi="Arial"/>
          <w:color w:val="2E2E2E"/>
          <w:sz w:val="22"/>
          <w:szCs w:val="22"/>
        </w:rPr>
        <w:t xml:space="preserve">Of the 20 Wisconsin libraries that received C2 funding in FY2021–2025, two patterns emerge clearly.</w:t>
      </w:r>
    </w:p>
    <w:p>
      <w:pPr>
        <w:spacing w:before="60" w:after="60"/>
      </w:pPr>
      <w:r>
        <w:t xml:space="preserve"/>
      </w:r>
    </w:p>
    <w:p>
      <w:pPr>
        <w:pStyle w:val="Heading2"/>
        <w:spacing w:before="280" w:after="100"/>
      </w:pPr>
      <w:r>
        <w:rPr>
          <w:rFonts w:ascii="Arial" w:cs="Arial" w:eastAsia="Arial" w:hAnsi="Arial"/>
          <w:b/>
          <w:bCs/>
          <w:color w:val="7A4DA0"/>
          <w:sz w:val="26"/>
          <w:szCs w:val="26"/>
        </w:rPr>
        <w:t xml:space="preserve">Large Urban Systems Had Internal Capacity</w:t>
      </w:r>
    </w:p>
    <w:p>
      <w:pPr>
        <w:spacing w:before="80" w:after="120" w:line="276"/>
      </w:pPr>
      <w:r>
        <w:rPr>
          <w:rFonts w:ascii="Arial" w:cs="Arial" w:eastAsia="Arial" w:hAnsi="Arial"/>
          <w:color w:val="2E2E2E"/>
          <w:sz w:val="22"/>
          <w:szCs w:val="22"/>
        </w:rPr>
        <w:t xml:space="preserve">Milwaukee Public Library (nearly 652,000 sq ft across its system), Madison Public Library, Kenosha Public Library, and La Crosse Public Library each participated. These institutions have dedicated IT or administrative staff who could absorb the application workload. Milwaukee, which hired an external consultant, received $775,845 — by far the largest disbursement in the state.</w:t>
      </w:r>
    </w:p>
    <w:p>
      <w:pPr>
        <w:spacing w:before="60" w:after="60"/>
      </w:pPr>
      <w:r>
        <w:t xml:space="preserve"/>
      </w:r>
    </w:p>
    <w:p>
      <w:pPr>
        <w:pStyle w:val="Heading2"/>
        <w:spacing w:before="280" w:after="100"/>
      </w:pPr>
      <w:r>
        <w:rPr>
          <w:rFonts w:ascii="Arial" w:cs="Arial" w:eastAsia="Arial" w:hAnsi="Arial"/>
          <w:b/>
          <w:bCs/>
          <w:color w:val="7A4DA0"/>
          <w:sz w:val="26"/>
          <w:szCs w:val="26"/>
        </w:rPr>
        <w:t xml:space="preserve">Small Libraries Succeeded Through Regional Support</w:t>
      </w:r>
    </w:p>
    <w:p>
      <w:pPr>
        <w:spacing w:before="80" w:after="120" w:line="276"/>
      </w:pPr>
      <w:r>
        <w:rPr>
          <w:rFonts w:ascii="Arial" w:cs="Arial" w:eastAsia="Arial" w:hAnsi="Arial"/>
          <w:color w:val="2E2E2E"/>
          <w:sz w:val="22"/>
          <w:szCs w:val="22"/>
        </w:rPr>
        <w:t xml:space="preserve">A second cluster of smaller libraries — many in Dane County — also participated despite having fewer resources: Oregon, Monona, Stoughton, Belleville, Poynette, New Glarus, Black Earth, Marshall, and others. These libraries received modest amounts ($700–$20,000 each), but they engaged.</w:t>
      </w:r>
    </w:p>
    <w:p>
      <w:pPr>
        <w:spacing w:before="60" w:after="60"/>
      </w:pPr>
      <w:r>
        <w:t xml:space="preserve"/>
      </w:r>
    </w:p>
    <w:p>
      <w:pPr>
        <w:spacing w:before="80" w:after="120" w:line="276"/>
      </w:pPr>
      <w:r>
        <w:rPr>
          <w:rFonts w:ascii="Arial" w:cs="Arial" w:eastAsia="Arial" w:hAnsi="Arial"/>
          <w:color w:val="2E2E2E"/>
          <w:sz w:val="22"/>
          <w:szCs w:val="22"/>
        </w:rPr>
        <w:t xml:space="preserve">The most likely explanation is that the South Central Library System (SCLS), which serves the Madison region, provided shared administrative support that helped member libraries navigate the application. This is exactly how regional library systems can serve as force multipliers for smaller institutions.</w:t>
      </w:r>
    </w:p>
    <w:p>
      <w:pPr>
        <w:spacing w:before="60" w:after="60"/>
      </w:pPr>
      <w:r>
        <w:t xml:space="preserve"/>
      </w:r>
    </w:p>
    <w:p>
      <w:pPr>
        <w:spacing w:before="80" w:after="120" w:line="276"/>
      </w:pPr>
      <w:r>
        <w:rPr>
          <w:rFonts w:ascii="Arial" w:cs="Arial" w:eastAsia="Arial" w:hAnsi="Arial"/>
          <w:color w:val="2E2E2E"/>
          <w:sz w:val="22"/>
          <w:szCs w:val="22"/>
        </w:rPr>
        <w:t xml:space="preserve">Libraries in other regions — served by NFLS, MCLS, OWLS, and a dozen other systems — largely did not participate. Whether their system offered similar support is worth investigating.</w:t>
      </w:r>
    </w:p>
    <w:p>
      <w:pPr>
        <w:spacing w:before="60" w:after="60"/>
      </w:pPr>
      <w:r>
        <w:t xml:space="preserve"/>
      </w:r>
    </w:p>
    <w:p>
      <w:pPr>
        <w:pStyle w:val="Heading1"/>
        <w:pBdr>
          <w:bottom w:val="single" w:color="7A4DA0" w:sz="8" w:space="4"/>
        </w:pBdr>
        <w:spacing w:before="440" w:after="160"/>
      </w:pPr>
      <w:r>
        <w:rPr>
          <w:rFonts w:ascii="Arial" w:cs="Arial" w:eastAsia="Arial" w:hAnsi="Arial"/>
          <w:b/>
          <w:bCs/>
          <w:color w:val="1C1228"/>
          <w:sz w:val="32"/>
          <w:szCs w:val="32"/>
        </w:rPr>
        <w:t xml:space="preserve">What Your Library Should Do Right Now</w:t>
      </w:r>
    </w:p>
    <w:p>
      <w:pPr>
        <w:spacing w:before="80" w:after="120" w:line="276"/>
      </w:pPr>
      <w:r>
        <w:rPr>
          <w:rFonts w:ascii="Arial" w:cs="Arial" w:eastAsia="Arial" w:hAnsi="Arial"/>
          <w:color w:val="2E2E2E"/>
          <w:sz w:val="22"/>
          <w:szCs w:val="22"/>
        </w:rPr>
        <w:t xml:space="preserve">The FY2026–2030 E-rate cycle is open. Here is how to approach it.</w:t>
      </w:r>
    </w:p>
    <w:p>
      <w:pPr>
        <w:spacing w:before="60" w:after="60"/>
      </w:pPr>
      <w:r>
        <w:t xml:space="preserve"/>
      </w:r>
    </w:p>
    <w:p>
      <w:pPr>
        <w:pStyle w:val="Heading2"/>
        <w:spacing w:before="280" w:after="100"/>
      </w:pPr>
      <w:r>
        <w:rPr>
          <w:rFonts w:ascii="Arial" w:cs="Arial" w:eastAsia="Arial" w:hAnsi="Arial"/>
          <w:b/>
          <w:bCs/>
          <w:color w:val="7A4DA0"/>
          <w:sz w:val="26"/>
          <w:szCs w:val="26"/>
        </w:rPr>
        <w:t xml:space="preserve">Step 1: Confirm Your Library's C2 Budget</w:t>
      </w:r>
    </w:p>
    <w:p>
      <w:pPr>
        <w:spacing w:before="80" w:after="120" w:line="276"/>
      </w:pPr>
      <w:r>
        <w:rPr>
          <w:rFonts w:ascii="Arial" w:cs="Arial" w:eastAsia="Arial" w:hAnsi="Arial"/>
          <w:color w:val="2E2E2E"/>
          <w:sz w:val="22"/>
          <w:szCs w:val="22"/>
        </w:rPr>
        <w:t xml:space="preserve">Visit the USAC E-rate Productivity Center (EPC) at usac.org or contact USAC directly to look up your library's Billed Entity Number (BEN) and C2 budget for the current cycle. If your library registered in a prior cycle, your BEN is already in the system.</w:t>
      </w:r>
    </w:p>
    <w:p>
      <w:pPr>
        <w:spacing w:before="60" w:after="60"/>
      </w:pPr>
      <w:r>
        <w:t xml:space="preserve"/>
      </w:r>
    </w:p>
    <w:p>
      <w:pPr>
        <w:pStyle w:val="Heading2"/>
        <w:spacing w:before="280" w:after="100"/>
      </w:pPr>
      <w:r>
        <w:rPr>
          <w:rFonts w:ascii="Arial" w:cs="Arial" w:eastAsia="Arial" w:hAnsi="Arial"/>
          <w:b/>
          <w:bCs/>
          <w:color w:val="7A4DA0"/>
          <w:sz w:val="26"/>
          <w:szCs w:val="26"/>
        </w:rPr>
        <w:t xml:space="preserve">Step 2: Assess Your Technology Needs</w:t>
      </w:r>
    </w:p>
    <w:p>
      <w:pPr>
        <w:spacing w:before="80" w:after="120" w:line="276"/>
      </w:pPr>
      <w:r>
        <w:rPr>
          <w:rFonts w:ascii="Arial" w:cs="Arial" w:eastAsia="Arial" w:hAnsi="Arial"/>
          <w:color w:val="2E2E2E"/>
          <w:sz w:val="22"/>
          <w:szCs w:val="22"/>
        </w:rPr>
        <w:t xml:space="preserve">Walk your building. Where is the Wi-Fi dead? Which switches are aging? Is your cabling adequate for the speeds your ISP is delivering? E-rate C2 covers the equipment that closes the gap between your internet connection and your patrons' devices. A simple technology assessment will help you match your needs to eligible purchases.</w:t>
      </w:r>
    </w:p>
    <w:p>
      <w:pPr>
        <w:spacing w:before="60" w:after="60"/>
      </w:pPr>
      <w:r>
        <w:t xml:space="preserve"/>
      </w:r>
    </w:p>
    <w:p>
      <w:pPr>
        <w:pStyle w:val="Heading2"/>
        <w:spacing w:before="280" w:after="100"/>
      </w:pPr>
      <w:r>
        <w:rPr>
          <w:rFonts w:ascii="Arial" w:cs="Arial" w:eastAsia="Arial" w:hAnsi="Arial"/>
          <w:b/>
          <w:bCs/>
          <w:color w:val="7A4DA0"/>
          <w:sz w:val="26"/>
          <w:szCs w:val="26"/>
        </w:rPr>
        <w:t xml:space="preserve">Step 3: Understand the Deadlines</w:t>
      </w:r>
    </w:p>
    <w:p>
      <w:pPr>
        <w:spacing w:before="80" w:after="120" w:line="276"/>
      </w:pPr>
      <w:r>
        <w:rPr>
          <w:rFonts w:ascii="Arial" w:cs="Arial" w:eastAsia="Arial" w:hAnsi="Arial"/>
          <w:color w:val="2E2E2E"/>
          <w:sz w:val="22"/>
          <w:szCs w:val="22"/>
        </w:rPr>
        <w:t xml:space="preserve">The Form 470 must be filed before the Form 471 window opens. Missing the window means waiting a full year. If you are reading this in early 2026, the window for this funding year is either open or very soon — acting quickly matters.</w:t>
      </w:r>
    </w:p>
    <w:p>
      <w:pPr>
        <w:spacing w:before="60" w:after="60"/>
      </w:pPr>
      <w:r>
        <w:t xml:space="preserve"/>
      </w:r>
    </w:p>
    <w:p>
      <w:pPr>
        <w:pStyle w:val="Heading2"/>
        <w:spacing w:before="280" w:after="100"/>
      </w:pPr>
      <w:r>
        <w:rPr>
          <w:rFonts w:ascii="Arial" w:cs="Arial" w:eastAsia="Arial" w:hAnsi="Arial"/>
          <w:b/>
          <w:bCs/>
          <w:color w:val="7A4DA0"/>
          <w:sz w:val="26"/>
          <w:szCs w:val="26"/>
        </w:rPr>
        <w:t xml:space="preserve">Step 4: Get Support for the Application</w:t>
      </w:r>
    </w:p>
    <w:p>
      <w:pPr>
        <w:spacing w:before="80" w:after="120" w:line="276"/>
      </w:pPr>
      <w:r>
        <w:rPr>
          <w:rFonts w:ascii="Arial" w:cs="Arial" w:eastAsia="Arial" w:hAnsi="Arial"/>
          <w:color w:val="2E2E2E"/>
          <w:sz w:val="22"/>
          <w:szCs w:val="22"/>
        </w:rPr>
        <w:t xml:space="preserve">This is the step where most libraries stall. The single most impactful thing your library can do is work with someone who knows the E-rate process. Options include:</w:t>
      </w:r>
    </w:p>
    <w:p>
      <w:pPr>
        <w:spacing w:before="40" w:after="40"/>
      </w:pPr>
      <w:r>
        <w:t xml:space="preserve"/>
      </w:r>
    </w:p>
    <w:p>
      <w:pPr>
        <w:pStyle w:val="ListParagraph"/>
        <w:numPr>
          <w:ilvl w:val="0"/>
          <w:numId w:val="2"/>
        </w:numPr>
        <w:spacing w:before="60" w:after="60"/>
      </w:pPr>
      <w:r>
        <w:rPr>
          <w:rFonts w:ascii="Arial" w:cs="Arial" w:eastAsia="Arial" w:hAnsi="Arial"/>
          <w:color w:val="2E2E2E"/>
          <w:sz w:val="22"/>
          <w:szCs w:val="22"/>
        </w:rPr>
        <w:t xml:space="preserve">Your regional library system — ask your system director whether the system offers E-rate application support for members.</w:t>
      </w:r>
    </w:p>
    <w:p>
      <w:pPr>
        <w:pStyle w:val="ListParagraph"/>
        <w:numPr>
          <w:ilvl w:val="0"/>
          <w:numId w:val="2"/>
        </w:numPr>
        <w:spacing w:before="60" w:after="60"/>
      </w:pPr>
      <w:r>
        <w:rPr>
          <w:rFonts w:ascii="Arial" w:cs="Arial" w:eastAsia="Arial" w:hAnsi="Arial"/>
          <w:color w:val="2E2E2E"/>
          <w:sz w:val="22"/>
          <w:szCs w:val="22"/>
        </w:rPr>
        <w:t xml:space="preserve">The Wisconsin Department of Public Instruction — DPI offers E-rate training resources and can point you toward state-level support.</w:t>
      </w:r>
    </w:p>
    <w:p>
      <w:pPr>
        <w:pStyle w:val="ListParagraph"/>
        <w:numPr>
          <w:ilvl w:val="0"/>
          <w:numId w:val="2"/>
        </w:numPr>
        <w:spacing w:before="60" w:after="60"/>
      </w:pPr>
      <w:r>
        <w:rPr>
          <w:rFonts w:ascii="Arial" w:cs="Arial" w:eastAsia="Arial" w:hAnsi="Arial"/>
          <w:color w:val="2E2E2E"/>
          <w:sz w:val="22"/>
          <w:szCs w:val="22"/>
        </w:rPr>
        <w:t xml:space="preserve">A professional E-rate technology vendor — some vendors specialize in helping libraries complete the application process as part of their service, handling the paperwork alongside the equipment sale.</w:t>
      </w:r>
    </w:p>
    <w:p>
      <w:pPr>
        <w:spacing w:before="60" w:after="60"/>
      </w:pPr>
      <w:r>
        <w:t xml:space="preserve"/>
      </w:r>
    </w:p>
    <w:p>
      <w:pPr>
        <w:pBdr>
          <w:left w:val="single" w:color="7A4DA0" w:sz="20" w:space="12"/>
        </w:pBdr>
        <w:shd w:fill="EDE5F5" w:val="clear"/>
        <w:spacing w:before="180" w:after="180"/>
        <w:ind w:left="640"/>
      </w:pPr>
      <w:r>
        <w:rPr>
          <w:rFonts w:ascii="Arial" w:cs="Arial" w:eastAsia="Arial" w:hAnsi="Arial"/>
          <w:i/>
          <w:iCs/>
          <w:color w:val="1C1228"/>
          <w:sz w:val="22"/>
          <w:szCs w:val="22"/>
        </w:rPr>
        <w:t xml:space="preserve">Working with an experienced vendor or consultant is not "cheating" the system — it is exactly what the program expects. USAC recognizes that small institutions need support, which is why outside assistance is explicitly permitted.</w:t>
      </w:r>
    </w:p>
    <w:p>
      <w:pPr>
        <w:spacing w:before="60" w:after="60"/>
      </w:pPr>
      <w:r>
        <w:t xml:space="preserve"/>
      </w:r>
    </w:p>
    <w:p>
      <w:pPr>
        <w:pStyle w:val="Heading1"/>
        <w:pBdr>
          <w:bottom w:val="single" w:color="7A4DA0" w:sz="8" w:space="4"/>
        </w:pBdr>
        <w:spacing w:before="440" w:after="160"/>
      </w:pPr>
      <w:r>
        <w:rPr>
          <w:rFonts w:ascii="Arial" w:cs="Arial" w:eastAsia="Arial" w:hAnsi="Arial"/>
          <w:b/>
          <w:bCs/>
          <w:color w:val="1C1228"/>
          <w:sz w:val="32"/>
          <w:szCs w:val="32"/>
        </w:rPr>
        <w:t xml:space="preserve">How Modern Edge Technology Can Help</w:t>
      </w:r>
    </w:p>
    <w:p>
      <w:pPr>
        <w:spacing w:before="80" w:after="120" w:line="276"/>
      </w:pPr>
      <w:r>
        <w:rPr>
          <w:rFonts w:ascii="Arial" w:cs="Arial" w:eastAsia="Arial" w:hAnsi="Arial"/>
          <w:color w:val="2E2E2E"/>
          <w:sz w:val="22"/>
          <w:szCs w:val="22"/>
        </w:rPr>
        <w:t xml:space="preserve">Modern Edge Technology specializes in network infrastructure for public institutions — and we understand that for a library, the equipment conversation is inseparable from the funding conversation.</w:t>
      </w:r>
    </w:p>
    <w:p>
      <w:pPr>
        <w:spacing w:before="60" w:after="60"/>
      </w:pPr>
      <w:r>
        <w:t xml:space="preserve"/>
      </w:r>
    </w:p>
    <w:p>
      <w:pPr>
        <w:spacing w:before="80" w:after="120" w:line="276"/>
      </w:pPr>
      <w:r>
        <w:rPr>
          <w:rFonts w:ascii="Arial" w:cs="Arial" w:eastAsia="Arial" w:hAnsi="Arial"/>
          <w:color w:val="2E2E2E"/>
          <w:sz w:val="22"/>
          <w:szCs w:val="22"/>
        </w:rPr>
        <w:t xml:space="preserve">We work with libraries to:</w:t>
      </w:r>
    </w:p>
    <w:p>
      <w:pPr>
        <w:spacing w:before="40" w:after="40"/>
      </w:pPr>
      <w:r>
        <w:t xml:space="preserve"/>
      </w:r>
    </w:p>
    <w:p>
      <w:pPr>
        <w:pStyle w:val="ListParagraph"/>
        <w:numPr>
          <w:ilvl w:val="0"/>
          <w:numId w:val="2"/>
        </w:numPr>
        <w:spacing w:before="60" w:after="60"/>
      </w:pPr>
      <w:r>
        <w:rPr>
          <w:rFonts w:ascii="Arial" w:cs="Arial" w:eastAsia="Arial" w:hAnsi="Arial"/>
          <w:color w:val="2E2E2E"/>
          <w:sz w:val="22"/>
          <w:szCs w:val="22"/>
        </w:rPr>
        <w:t xml:space="preserve">Assess your current network infrastructure and identify E-rate eligible upgrades</w:t>
      </w:r>
    </w:p>
    <w:p>
      <w:pPr>
        <w:pStyle w:val="ListParagraph"/>
        <w:numPr>
          <w:ilvl w:val="0"/>
          <w:numId w:val="2"/>
        </w:numPr>
        <w:spacing w:before="60" w:after="60"/>
      </w:pPr>
      <w:r>
        <w:rPr>
          <w:rFonts w:ascii="Arial" w:cs="Arial" w:eastAsia="Arial" w:hAnsi="Arial"/>
          <w:color w:val="2E2E2E"/>
          <w:sz w:val="22"/>
          <w:szCs w:val="22"/>
        </w:rPr>
        <w:t xml:space="preserve">Guide you through the Form 470 filing and competitive bidding process</w:t>
      </w:r>
    </w:p>
    <w:p>
      <w:pPr>
        <w:pStyle w:val="ListParagraph"/>
        <w:numPr>
          <w:ilvl w:val="0"/>
          <w:numId w:val="2"/>
        </w:numPr>
        <w:spacing w:before="60" w:after="60"/>
      </w:pPr>
      <w:r>
        <w:rPr>
          <w:rFonts w:ascii="Arial" w:cs="Arial" w:eastAsia="Arial" w:hAnsi="Arial"/>
          <w:color w:val="2E2E2E"/>
          <w:sz w:val="22"/>
          <w:szCs w:val="22"/>
        </w:rPr>
        <w:t xml:space="preserve">Ensure your vendor selection and documentation meets USAC compliance requirements</w:t>
      </w:r>
    </w:p>
    <w:p>
      <w:pPr>
        <w:pStyle w:val="ListParagraph"/>
        <w:numPr>
          <w:ilvl w:val="0"/>
          <w:numId w:val="2"/>
        </w:numPr>
        <w:spacing w:before="60" w:after="60"/>
      </w:pPr>
      <w:r>
        <w:rPr>
          <w:rFonts w:ascii="Arial" w:cs="Arial" w:eastAsia="Arial" w:hAnsi="Arial"/>
          <w:color w:val="2E2E2E"/>
          <w:sz w:val="22"/>
          <w:szCs w:val="22"/>
        </w:rPr>
        <w:t xml:space="preserve">Help prepare and file your Form 471 funding request accurately and on time</w:t>
      </w:r>
    </w:p>
    <w:p>
      <w:pPr>
        <w:pStyle w:val="ListParagraph"/>
        <w:numPr>
          <w:ilvl w:val="0"/>
          <w:numId w:val="2"/>
        </w:numPr>
        <w:spacing w:before="60" w:after="60"/>
      </w:pPr>
      <w:r>
        <w:rPr>
          <w:rFonts w:ascii="Arial" w:cs="Arial" w:eastAsia="Arial" w:hAnsi="Arial"/>
          <w:color w:val="2E2E2E"/>
          <w:sz w:val="22"/>
          <w:szCs w:val="22"/>
        </w:rPr>
        <w:t xml:space="preserve">Coordinate delivery, installation, and post-commitment invoicing</w:t>
      </w:r>
    </w:p>
    <w:p>
      <w:pPr>
        <w:spacing w:before="60" w:after="60"/>
      </w:pPr>
      <w:r>
        <w:t xml:space="preserve"/>
      </w:r>
    </w:p>
    <w:p>
      <w:pPr>
        <w:spacing w:before="80" w:after="120" w:line="276"/>
      </w:pPr>
      <w:r>
        <w:rPr>
          <w:rFonts w:ascii="Arial" w:cs="Arial" w:eastAsia="Arial" w:hAnsi="Arial"/>
          <w:color w:val="2E2E2E"/>
          <w:sz w:val="22"/>
          <w:szCs w:val="22"/>
        </w:rPr>
        <w:t xml:space="preserve">We are familiar with the Wisconsin library landscape and the specific systems and institutions in this state. Our goal is straightforward: help your library claim the funding it is already entitled to, and make sure the technology that funding pays for actually works well for your staff and patrons.</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none" w:color="FFFFFF" w:sz="0"/>
              <w:left w:val="none" w:color="FFFFFF" w:sz="0"/>
              <w:bottom w:val="none" w:color="FFFFFF" w:sz="0"/>
              <w:right w:val="none" w:color="FFFFFF" w:sz="0"/>
            </w:tcBorders>
            <w:shd w:fill="1C1228" w:val="clear"/>
            <w:tcMar>
              <w:top w:type="dxa" w:w="280"/>
              <w:left w:type="dxa" w:w="320"/>
              <w:bottom w:type="dxa" w:w="0"/>
              <w:right w:type="dxa" w:w="200"/>
            </w:tcMar>
            <w:vAlign w:val="center"/>
          </w:tcPr>
          <w:p>
            <w:pPr>
              <w:jc w:val="center"/>
            </w:pPr>
            <w:r>
              <w:drawing>
                <wp:inline distT="0" distB="0" distL="0" distR="0">
                  <wp:extent cx="1238250" cy="1238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238250" cy="1238250"/>
                          </a:xfrm>
                          <a:prstGeom prst="rect">
                            <a:avLst/>
                          </a:prstGeom>
                        </pic:spPr>
                      </pic:pic>
                    </a:graphicData>
                  </a:graphic>
                </wp:inline>
              </w:drawing>
            </w:r>
          </w:p>
        </w:tc>
        <w:tc>
          <w:tcPr>
            <w:tcW w:type="dxa" w:w="7160"/>
            <w:tcBorders>
              <w:top w:val="none" w:color="FFFFFF" w:sz="0"/>
              <w:left w:val="none" w:color="FFFFFF" w:sz="0"/>
              <w:bottom w:val="none" w:color="FFFFFF" w:sz="0"/>
              <w:right w:val="none" w:color="FFFFFF" w:sz="0"/>
            </w:tcBorders>
            <w:shd w:fill="1C1228" w:val="clear"/>
            <w:tcMar>
              <w:top w:type="dxa" w:w="300"/>
              <w:left w:type="dxa" w:w="200"/>
              <w:bottom w:type="dxa" w:w="300"/>
              <w:right w:type="dxa" w:w="480"/>
            </w:tcMar>
            <w:vAlign w:val="center"/>
          </w:tcPr>
          <w:p>
            <w:pPr>
              <w:spacing w:before="0" w:after="100"/>
            </w:pPr>
            <w:r>
              <w:rPr>
                <w:rFonts w:ascii="Arial" w:cs="Arial" w:eastAsia="Arial" w:hAnsi="Arial"/>
                <w:b/>
                <w:bCs/>
                <w:color w:val="FFFFFF"/>
                <w:sz w:val="28"/>
                <w:szCs w:val="28"/>
              </w:rPr>
              <w:t xml:space="preserve">Ready to claim your library's funding?</w:t>
            </w:r>
          </w:p>
          <w:p>
            <w:pPr>
              <w:spacing w:before="0" w:after="120"/>
            </w:pPr>
            <w:r>
              <w:rPr>
                <w:rFonts w:ascii="Arial" w:cs="Arial" w:eastAsia="Arial" w:hAnsi="Arial"/>
                <w:color w:val="9B6BBF"/>
                <w:sz w:val="20"/>
                <w:szCs w:val="20"/>
              </w:rPr>
              <w:t xml:space="preserve">Reach out to discuss your library's specific situation, budget, and technology needs. There is no obligation — just a conversation about what might be possible.</w:t>
            </w:r>
          </w:p>
          <w:p>
            <w:pPr>
              <w:spacing w:before="60" w:after="40"/>
            </w:pPr>
            <w:r>
              <w:rPr>
                <w:rFonts w:ascii="Arial" w:cs="Arial" w:eastAsia="Arial" w:hAnsi="Arial"/>
                <w:b/>
                <w:bCs/>
                <w:color w:val="EDE5F5"/>
                <w:sz w:val="22"/>
                <w:szCs w:val="22"/>
              </w:rPr>
              <w:t xml:space="preserve">Matt Duerwachter</w:t>
            </w:r>
          </w:p>
          <w:p>
            <w:pPr>
              <w:spacing w:before="0" w:after="40"/>
            </w:pPr>
            <w:r>
              <w:rPr>
                <w:rFonts w:ascii="Arial" w:cs="Arial" w:eastAsia="Arial" w:hAnsi="Arial"/>
                <w:color w:val="9B6BBF"/>
                <w:sz w:val="20"/>
                <w:szCs w:val="20"/>
              </w:rPr>
              <w:t xml:space="preserve">Modern Edge Technology</w:t>
            </w:r>
          </w:p>
          <w:p>
            <w:pPr>
              <w:spacing w:before="0" w:after="40"/>
            </w:pPr>
            <w:r>
              <w:rPr>
                <w:rFonts w:ascii="Arial" w:cs="Arial" w:eastAsia="Arial" w:hAnsi="Arial"/>
                <w:color w:val="9B6BBF"/>
                <w:sz w:val="20"/>
                <w:szCs w:val="20"/>
              </w:rPr>
              <w:t xml:space="preserve">mduerwachter@modernedgetech.net</w:t>
            </w:r>
          </w:p>
          <w:p>
            <w:pPr>
              <w:spacing w:before="0" w:after="0"/>
            </w:pPr>
            <w:r>
              <w:rPr>
                <w:rFonts w:ascii="Arial" w:cs="Arial" w:eastAsia="Arial" w:hAnsi="Arial"/>
                <w:color w:val="9B6BBF"/>
                <w:sz w:val="20"/>
                <w:szCs w:val="20"/>
              </w:rPr>
              <w:t xml:space="preserve">modernedgetech.net</w:t>
            </w:r>
          </w:p>
        </w:tc>
      </w:tr>
    </w:tbl>
    <w:p>
      <w:pPr>
        <w:spacing w:before="60" w:after="60"/>
      </w:pPr>
      <w:r>
        <w:t xml:space="preserve"/>
      </w:r>
    </w:p>
    <w:p>
      <w:pPr>
        <w:pBdr>
          <w:top w:val="single" w:color="C9B8DB" w:sz="4" w:space="6"/>
        </w:pBdr>
        <w:spacing w:before="160" w:after="80"/>
      </w:pPr>
      <w:r>
        <w:rPr>
          <w:rFonts w:ascii="Arial" w:cs="Arial" w:eastAsia="Arial" w:hAnsi="Arial"/>
          <w:b/>
          <w:bCs/>
          <w:color w:val="555555"/>
          <w:sz w:val="18"/>
          <w:szCs w:val="18"/>
        </w:rPr>
        <w:t xml:space="preserve">About This Report</w:t>
      </w:r>
    </w:p>
    <w:p>
      <w:pPr>
        <w:spacing w:before="60" w:after="60"/>
      </w:pPr>
      <w:r>
        <w:rPr>
          <w:rFonts w:ascii="Arial" w:cs="Arial" w:eastAsia="Arial" w:hAnsi="Arial"/>
          <w:i/>
          <w:iCs/>
          <w:color w:val="888888"/>
          <w:sz w:val="17"/>
          <w:szCs w:val="17"/>
        </w:rPr>
        <w:t xml:space="preserve">Data in this report is drawn from Wisconsin's USAC E-rate Category 2 library budget dataset covering FY2021–2025 and FY2026–2030 cycles, comprising 642 records across 321 unique Billed Entity Numbers. All figures reflect data from the source file. E-rate program rules are subject to change; consult USAC or an authorized E-rate consultant for current program details.</w:t>
      </w:r>
    </w:p>
    <w:sectPr>
      <w:footerReference w:type="default" r:id="rId6"/>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9B8DB" w:sz="4" w:space="6"/>
      </w:pBdr>
      <w:tabs>
        <w:tab w:val="right" w:pos="9360"/>
      </w:tabs>
    </w:pPr>
    <w:r>
      <w:rPr>
        <w:rFonts w:ascii="Arial" w:cs="Arial" w:eastAsia="Arial" w:hAnsi="Arial"/>
        <w:color w:val="888888"/>
        <w:sz w:val="16"/>
        <w:szCs w:val="16"/>
      </w:rPr>
      <w:t xml:space="preserve">Modern Edge Technology  |  modernedgetech.net</w:t>
    </w:r>
    <w:r>
      <w:rPr>
        <w:sz w:val="16"/>
        <w:szCs w:val="16"/>
      </w:rPr>
      <w:t xml:space="preserve">	</w:t>
    </w:r>
    <w:r>
      <w:rPr>
        <w:rFonts w:ascii="Arial" w:cs="Arial" w:eastAsia="Arial" w:hAnsi="Arial"/>
        <w:color w:val="888888"/>
        <w:sz w:val="16"/>
        <w:szCs w:val="16"/>
      </w:rPr>
      <w:t xml:space="preserve">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40" w:after="160"/>
      <w:outlineLvl w:val="0"/>
    </w:pPr>
    <w:rPr>
      <w:rFonts w:ascii="Arial" w:cs="Arial" w:eastAsia="Arial" w:hAnsi="Arial"/>
      <w:b/>
      <w:bCs/>
      <w:color w:val="1C1228"/>
      <w:sz w:val="32"/>
      <w:szCs w:val="32"/>
    </w:rPr>
  </w:style>
  <w:style w:type="paragraph" w:styleId="Heading2">
    <w:name w:val="Heading 2"/>
    <w:basedOn w:val="Normal"/>
    <w:next w:val="Normal"/>
    <w:qFormat/>
    <w:pPr>
      <w:spacing w:before="280" w:after="100"/>
      <w:outlineLvl w:val="1"/>
    </w:pPr>
    <w:rPr>
      <w:rFonts w:ascii="Arial" w:cs="Arial" w:eastAsia="Arial" w:hAnsi="Arial"/>
      <w:b/>
      <w:bCs/>
      <w:color w:val="7A4DA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image" Target="media/389c059e6b0fc47260ddaa4b6fc439f0bfd268f2.png"/><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2026-03-17T03:37:31.709Z</dcterms:created>
  <dcterms:modified xsi:type="dcterms:W3CDTF">2026-03-17T03:37:31.710Z</dcterms:modified>
</cp:coreProperties>
</file>

<file path=docProps/custom.xml><?xml version="1.0" encoding="utf-8"?>
<Properties xmlns="http://schemas.openxmlformats.org/officeDocument/2006/custom-properties" xmlns:vt="http://schemas.openxmlformats.org/officeDocument/2006/docPropsVTypes"/>
</file>